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bookmarkStart w:id="0" w:name="_GoBack"/>
      <w:bookmarkEnd w:id="0"/>
      <w:r>
        <w:rPr>
          <w:rStyle w:val="13"/>
          <w:rFonts w:hint="eastAsia" w:asciiTheme="minorEastAsia" w:hAnsiTheme="minorEastAsia" w:eastAsiaTheme="minorEastAsia" w:cstheme="minorEastAsia"/>
          <w:b/>
          <w:bCs/>
          <w:sz w:val="36"/>
          <w:szCs w:val="36"/>
          <w:lang w:val="en-US" w:eastAsia="zh-CN"/>
        </w:rPr>
        <w:t>温州市中医院关于膀胱镜项目的招标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一</w:t>
            </w:r>
          </w:p>
        </w:tc>
        <w:tc>
          <w:tcPr>
            <w:tcW w:w="6348" w:type="dxa"/>
            <w:tcBorders>
              <w:top w:val="single" w:color="auto" w:sz="12" w:space="0"/>
            </w:tcBorders>
            <w:noWrap w:val="0"/>
            <w:vAlign w:val="center"/>
          </w:tcPr>
          <w:p>
            <w:pPr>
              <w:rPr>
                <w:rFonts w:hint="eastAsia" w:ascii="宋体" w:hAnsi="宋体" w:eastAsia="宋体" w:cs="宋体"/>
                <w:b/>
                <w:color w:val="auto"/>
                <w:sz w:val="21"/>
                <w:szCs w:val="21"/>
              </w:rPr>
            </w:pPr>
            <w:r>
              <w:rPr>
                <w:rFonts w:hint="eastAsia" w:ascii="宋体" w:hAnsi="宋体" w:eastAsia="宋体" w:cs="宋体"/>
                <w:b/>
                <w:color w:val="auto"/>
                <w:sz w:val="21"/>
                <w:szCs w:val="21"/>
              </w:rPr>
              <w:t>总体要求：</w:t>
            </w:r>
            <w:r>
              <w:rPr>
                <w:rFonts w:hint="eastAsia" w:ascii="宋体" w:hAnsi="宋体" w:eastAsia="宋体" w:cs="宋体"/>
                <w:color w:val="auto"/>
                <w:sz w:val="21"/>
                <w:szCs w:val="21"/>
                <w:lang w:eastAsia="zh-CN"/>
              </w:rPr>
              <w:t>尿道膀胱镜及配套手术器械</w:t>
            </w:r>
            <w:r>
              <w:rPr>
                <w:rFonts w:hint="eastAsia" w:ascii="宋体" w:hAnsi="宋体" w:eastAsia="宋体" w:cs="宋体"/>
                <w:color w:val="auto"/>
                <w:sz w:val="21"/>
                <w:szCs w:val="21"/>
                <w:lang w:val="en-US" w:eastAsia="zh-CN"/>
              </w:rPr>
              <w:t>1套</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该产品</w:t>
            </w:r>
            <w:r>
              <w:rPr>
                <w:rFonts w:hint="eastAsia" w:ascii="宋体" w:hAnsi="宋体" w:eastAsia="宋体" w:cs="宋体"/>
                <w:color w:val="auto"/>
                <w:sz w:val="21"/>
                <w:szCs w:val="21"/>
                <w:lang w:eastAsia="zh-CN"/>
              </w:rPr>
              <w:t>由内窥镜、镜鞘及闭孔器、操作器、无插管镜桥、清洗杆、进/出水接头、膀胱造瘘器、导光束、软性钳和软性剪组成。</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center"/>
          </w:tcPr>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产品适用范围：</w:t>
            </w:r>
            <w:r>
              <w:rPr>
                <w:rFonts w:hint="eastAsia" w:ascii="宋体" w:hAnsi="宋体" w:eastAsia="宋体" w:cs="宋体"/>
                <w:color w:val="auto"/>
                <w:sz w:val="21"/>
                <w:szCs w:val="21"/>
                <w:lang w:eastAsia="zh-CN"/>
              </w:rPr>
              <w:t>膀胱镜与其配套器械，在临床上供膀胱内的检查和手术用。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b/>
                <w:bCs/>
                <w:color w:val="000000"/>
                <w:sz w:val="21"/>
                <w:szCs w:val="21"/>
              </w:rPr>
              <w:t>二</w:t>
            </w:r>
          </w:p>
        </w:tc>
        <w:tc>
          <w:tcPr>
            <w:tcW w:w="6348" w:type="dxa"/>
            <w:noWrap w:val="0"/>
            <w:vAlign w:val="center"/>
          </w:tcPr>
          <w:p>
            <w:pPr>
              <w:rPr>
                <w:rFonts w:hint="eastAsia" w:ascii="宋体" w:hAnsi="宋体" w:eastAsia="宋体" w:cs="宋体"/>
                <w:sz w:val="21"/>
                <w:szCs w:val="21"/>
              </w:rPr>
            </w:pPr>
            <w:r>
              <w:rPr>
                <w:rFonts w:hint="eastAsia" w:ascii="宋体" w:hAnsi="宋体" w:eastAsia="宋体" w:cs="宋体"/>
                <w:b/>
                <w:color w:val="000000"/>
                <w:sz w:val="21"/>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w:t>
            </w:r>
          </w:p>
        </w:tc>
        <w:tc>
          <w:tcPr>
            <w:tcW w:w="6348" w:type="dxa"/>
            <w:noWrap w:val="0"/>
            <w:vAlign w:val="center"/>
          </w:tcPr>
          <w:p>
            <w:pPr>
              <w:widowControl/>
              <w:jc w:val="left"/>
              <w:textAlignment w:val="center"/>
              <w:rPr>
                <w:rFonts w:hAnsi="宋体" w:cs="宋体"/>
                <w:bCs/>
                <w:color w:val="000000"/>
                <w:kern w:val="0"/>
                <w:sz w:val="22"/>
                <w:szCs w:val="22"/>
                <w:lang w:bidi="ar"/>
              </w:rPr>
            </w:pPr>
            <w:r>
              <w:rPr>
                <w:rFonts w:hint="eastAsia" w:hAnsi="宋体" w:cs="宋体"/>
                <w:bCs/>
                <w:color w:val="000000"/>
                <w:kern w:val="0"/>
                <w:sz w:val="22"/>
                <w:szCs w:val="22"/>
                <w:lang w:bidi="ar"/>
              </w:rPr>
              <w:t>内窥镜：</w:t>
            </w:r>
          </w:p>
          <w:p>
            <w:pPr>
              <w:widowControl/>
              <w:jc w:val="left"/>
              <w:textAlignment w:val="center"/>
              <w:rPr>
                <w:rFonts w:hAnsi="宋体" w:cs="宋体"/>
                <w:bCs/>
                <w:color w:val="000000"/>
                <w:kern w:val="0"/>
                <w:sz w:val="22"/>
                <w:szCs w:val="22"/>
                <w:lang w:bidi="ar"/>
              </w:rPr>
            </w:pPr>
            <w:r>
              <w:rPr>
                <w:rFonts w:hint="eastAsia" w:hAnsi="宋体" w:cs="宋体"/>
                <w:bCs/>
                <w:color w:val="000000"/>
                <w:kern w:val="0"/>
                <w:sz w:val="22"/>
                <w:szCs w:val="22"/>
                <w:lang w:bidi="ar"/>
              </w:rPr>
              <w:t>直径：4mm ，工作长度：302mm</w:t>
            </w:r>
          </w:p>
          <w:p>
            <w:pPr>
              <w:widowControl/>
              <w:jc w:val="left"/>
              <w:textAlignment w:val="center"/>
              <w:rPr>
                <w:rFonts w:hAnsi="宋体" w:cs="宋体"/>
                <w:bCs/>
                <w:color w:val="000000"/>
                <w:kern w:val="0"/>
                <w:sz w:val="22"/>
                <w:szCs w:val="22"/>
                <w:lang w:bidi="ar"/>
              </w:rPr>
            </w:pPr>
            <w:r>
              <w:rPr>
                <w:rFonts w:hint="eastAsia" w:hAnsi="宋体" w:cs="宋体"/>
                <w:bCs/>
                <w:color w:val="000000"/>
                <w:kern w:val="0"/>
                <w:sz w:val="22"/>
                <w:szCs w:val="22"/>
                <w:lang w:bidi="ar"/>
              </w:rPr>
              <w:t>视向角：30°  视场角：64°</w:t>
            </w:r>
          </w:p>
          <w:p>
            <w:pPr>
              <w:widowControl/>
              <w:jc w:val="left"/>
              <w:textAlignment w:val="center"/>
              <w:rPr>
                <w:rFonts w:hAnsi="宋体" w:cs="宋体"/>
                <w:bCs/>
                <w:color w:val="000000"/>
                <w:kern w:val="0"/>
                <w:sz w:val="22"/>
                <w:szCs w:val="22"/>
                <w:lang w:bidi="ar"/>
              </w:rPr>
            </w:pPr>
            <w:r>
              <w:rPr>
                <w:rFonts w:hint="eastAsia" w:hAnsi="宋体" w:cs="宋体"/>
                <w:bCs/>
                <w:color w:val="000000"/>
                <w:kern w:val="0"/>
                <w:sz w:val="22"/>
                <w:szCs w:val="22"/>
                <w:lang w:bidi="ar"/>
              </w:rPr>
              <w:t>视场中心角分辨</w:t>
            </w:r>
            <w:r>
              <w:rPr>
                <w:rFonts w:hint="eastAsia" w:hAnsi="宋体" w:cs="宋体"/>
                <w:bCs/>
                <w:color w:val="000000"/>
                <w:kern w:val="0"/>
                <w:sz w:val="22"/>
                <w:szCs w:val="22"/>
                <w:lang w:eastAsia="zh-CN" w:bidi="ar"/>
              </w:rPr>
              <w:t>力</w:t>
            </w:r>
            <w:r>
              <w:rPr>
                <w:rFonts w:hint="eastAsia" w:hAnsi="宋体" w:cs="宋体"/>
                <w:bCs/>
                <w:color w:val="000000"/>
                <w:kern w:val="0"/>
                <w:sz w:val="22"/>
                <w:szCs w:val="22"/>
                <w:lang w:bidi="ar"/>
              </w:rPr>
              <w:t>：2.5 C/(°)</w:t>
            </w:r>
          </w:p>
          <w:p>
            <w:pPr>
              <w:widowControl/>
              <w:jc w:val="left"/>
              <w:textAlignment w:val="center"/>
              <w:rPr>
                <w:rFonts w:hAnsi="宋体" w:cs="宋体"/>
                <w:bCs/>
                <w:color w:val="000000"/>
                <w:kern w:val="0"/>
                <w:sz w:val="22"/>
                <w:szCs w:val="22"/>
                <w:lang w:bidi="ar"/>
              </w:rPr>
            </w:pPr>
            <w:r>
              <w:rPr>
                <w:rFonts w:hint="eastAsia" w:hAnsi="宋体" w:cs="宋体"/>
                <w:bCs/>
                <w:color w:val="000000"/>
                <w:kern w:val="0"/>
                <w:sz w:val="22"/>
                <w:szCs w:val="22"/>
                <w:lang w:bidi="ar"/>
              </w:rPr>
              <w:t>有效景深：3-100mm</w:t>
            </w:r>
          </w:p>
          <w:p>
            <w:pPr>
              <w:widowControl/>
              <w:jc w:val="left"/>
              <w:textAlignment w:val="center"/>
              <w:rPr>
                <w:rFonts w:hint="eastAsia" w:ascii="宋体" w:hAnsi="宋体" w:eastAsia="宋体" w:cs="宋体"/>
                <w:color w:val="000000"/>
                <w:sz w:val="21"/>
                <w:szCs w:val="21"/>
              </w:rPr>
            </w:pPr>
            <w:r>
              <w:rPr>
                <w:rFonts w:hint="eastAsia"/>
                <w:color w:val="000000"/>
                <w:szCs w:val="21"/>
              </w:rPr>
              <w:t>内镜自带多种光纤转接头。种类</w:t>
            </w:r>
            <w:r>
              <w:rPr>
                <w:rFonts w:hint="eastAsia" w:hAnsi="宋体" w:cs="宋体"/>
                <w:bCs/>
                <w:color w:val="000000"/>
                <w:kern w:val="0"/>
                <w:szCs w:val="21"/>
                <w:lang w:bidi="ar"/>
              </w:rPr>
              <w:t>≥3种</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w:t>
            </w:r>
          </w:p>
        </w:tc>
        <w:tc>
          <w:tcPr>
            <w:tcW w:w="6348" w:type="dxa"/>
            <w:noWrap w:val="0"/>
            <w:vAlign w:val="center"/>
          </w:tcPr>
          <w:p>
            <w:pPr>
              <w:jc w:val="left"/>
              <w:rPr>
                <w:rFonts w:ascii="宋体" w:hAnsi="宋体" w:cs="宋体"/>
                <w:bCs/>
                <w:color w:val="000000"/>
                <w:kern w:val="0"/>
                <w:szCs w:val="21"/>
                <w:lang w:bidi="ar"/>
              </w:rPr>
            </w:pPr>
            <w:r>
              <w:rPr>
                <w:rFonts w:hint="eastAsia" w:ascii="宋体" w:hAnsi="宋体" w:cs="宋体"/>
                <w:bCs/>
                <w:color w:val="000000"/>
                <w:kern w:val="0"/>
                <w:szCs w:val="21"/>
                <w:lang w:bidi="ar"/>
              </w:rPr>
              <w:t>操作器：</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尺寸：Fr16.5、 Fr18.5</w:t>
            </w:r>
            <w:r>
              <w:rPr>
                <w:rFonts w:hint="eastAsia" w:ascii="宋体" w:hAnsi="宋体" w:cs="宋体"/>
                <w:bCs/>
                <w:color w:val="000000"/>
                <w:kern w:val="0"/>
                <w:szCs w:val="21"/>
                <w:lang w:val="en-US" w:eastAsia="zh-CN" w:bidi="ar"/>
              </w:rPr>
              <w:t xml:space="preserve">  </w:t>
            </w:r>
            <w:r>
              <w:rPr>
                <w:rFonts w:hint="eastAsia" w:ascii="宋体" w:hAnsi="宋体" w:cs="宋体"/>
                <w:bCs/>
                <w:color w:val="000000"/>
                <w:kern w:val="0"/>
                <w:szCs w:val="21"/>
                <w:lang w:bidi="ar"/>
              </w:rPr>
              <w:t>Fr21、 Fr23</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灭菌方式：压力蒸汽灭菌、过氧化氢低温等离子体灭菌</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耐腐蚀性能：b级，耐酸、耐碱（YY/T 0149标准 ）</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使用性能：锁止后定位可靠，无松动现象</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锁止后密封良好，做渗水性试验时1分钟内渗水不得超过5滴</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器械的外表面光滑，杆和管部应平直，不得有锋棱、毛刺及明显的碰伤和划痕</w:t>
            </w:r>
          </w:p>
          <w:p>
            <w:pPr>
              <w:jc w:val="left"/>
              <w:rPr>
                <w:rFonts w:hint="eastAsia" w:ascii="宋体" w:hAnsi="宋体" w:eastAsia="宋体" w:cs="宋体"/>
                <w:color w:val="000000"/>
                <w:sz w:val="21"/>
                <w:szCs w:val="21"/>
              </w:rPr>
            </w:pPr>
            <w:r>
              <w:rPr>
                <w:rFonts w:hint="eastAsia" w:ascii="宋体" w:hAnsi="宋体" w:cs="宋体"/>
                <w:bCs/>
                <w:color w:val="000000"/>
                <w:kern w:val="0"/>
                <w:szCs w:val="21"/>
                <w:lang w:bidi="ar"/>
              </w:rPr>
              <w:t>器械各联接部位牢固可靠，焊缝应平整、无脱焊或堆焊现象</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w:t>
            </w:r>
          </w:p>
        </w:tc>
        <w:tc>
          <w:tcPr>
            <w:tcW w:w="6348" w:type="dxa"/>
            <w:noWrap w:val="0"/>
            <w:vAlign w:val="center"/>
          </w:tcPr>
          <w:p>
            <w:pPr>
              <w:jc w:val="left"/>
              <w:rPr>
                <w:rFonts w:ascii="宋体" w:hAnsi="宋体"/>
                <w:color w:val="000000"/>
              </w:rPr>
            </w:pPr>
            <w:r>
              <w:rPr>
                <w:rFonts w:hint="eastAsia"/>
                <w:color w:val="000000"/>
              </w:rPr>
              <w:t>镜鞘及闭孔器</w:t>
            </w:r>
            <w:r>
              <w:rPr>
                <w:rFonts w:hint="eastAsia" w:ascii="宋体" w:hAnsi="宋体"/>
                <w:color w:val="000000"/>
              </w:rPr>
              <w:t>F16.5  F18.5  F21   F23</w:t>
            </w:r>
          </w:p>
          <w:p>
            <w:pPr>
              <w:jc w:val="left"/>
              <w:rPr>
                <w:rFonts w:hint="eastAsia" w:ascii="宋体" w:hAnsi="宋体" w:eastAsia="宋体" w:cs="宋体"/>
                <w:color w:val="000000"/>
                <w:sz w:val="21"/>
                <w:szCs w:val="21"/>
              </w:rPr>
            </w:pPr>
            <w:r>
              <w:rPr>
                <w:rFonts w:hint="eastAsia" w:ascii="宋体" w:hAnsi="宋体"/>
                <w:color w:val="000000"/>
                <w:szCs w:val="21"/>
              </w:rPr>
              <w:t>锁止后定位可靠，无松动现象、锁止后密封良好，做渗水性试验时1分钟内渗水不得超过5滴</w:t>
            </w:r>
          </w:p>
        </w:tc>
        <w:tc>
          <w:tcPr>
            <w:tcW w:w="1492" w:type="dxa"/>
            <w:tcBorders>
              <w:right w:val="single" w:color="auto" w:sz="12" w:space="0"/>
            </w:tcBorders>
            <w:noWrap w:val="0"/>
            <w:vAlign w:val="center"/>
          </w:tcPr>
          <w:p>
            <w:pPr>
              <w:widowControl/>
              <w:spacing w:line="360" w:lineRule="exact"/>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color w:val="000000"/>
              </w:rPr>
              <w:t>无插管镜桥：</w:t>
            </w:r>
            <w:r>
              <w:rPr>
                <w:rFonts w:hint="eastAsia" w:ascii="宋体" w:hAnsi="宋体"/>
                <w:color w:val="000000"/>
              </w:rPr>
              <w:t xml:space="preserve">单通道    </w:t>
            </w:r>
            <w:r>
              <w:rPr>
                <w:rFonts w:hint="eastAsia" w:ascii="宋体" w:hAnsi="宋体"/>
                <w:color w:val="000000"/>
                <w:szCs w:val="21"/>
              </w:rPr>
              <w:t>锁止后定位可靠，无松动现象、锁止后密封良好。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color w:val="000000"/>
              </w:rPr>
              <w:t>清洗杆：具有清理异物的功能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w:t>
            </w:r>
          </w:p>
        </w:tc>
        <w:tc>
          <w:tcPr>
            <w:tcW w:w="6348" w:type="dxa"/>
            <w:noWrap w:val="0"/>
            <w:vAlign w:val="center"/>
          </w:tcPr>
          <w:p>
            <w:pPr>
              <w:jc w:val="left"/>
              <w:rPr>
                <w:rFonts w:hint="eastAsia" w:ascii="宋体" w:hAnsi="宋体" w:eastAsia="宋体" w:cs="宋体"/>
                <w:color w:val="000000"/>
                <w:kern w:val="2"/>
                <w:sz w:val="21"/>
                <w:szCs w:val="21"/>
                <w:lang w:val="en-US" w:eastAsia="zh-CN" w:bidi="ar-SA"/>
              </w:rPr>
            </w:pPr>
            <w:r>
              <w:rPr>
                <w:rFonts w:hint="eastAsia"/>
                <w:color w:val="000000"/>
              </w:rPr>
              <w:t>导光束：</w:t>
            </w:r>
            <w:r>
              <w:rPr>
                <w:rFonts w:hint="eastAsia" w:ascii="Arial" w:hAnsi="Arial" w:cs="Arial"/>
                <w:color w:val="000000"/>
                <w:szCs w:val="21"/>
              </w:rPr>
              <w:t>光缆入光面、出光面光洁、平整，无缺口，外表面光滑，无峰棱、毛刺、裂痕可能造成人体危害的缺陷存在。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w:t>
            </w:r>
          </w:p>
        </w:tc>
        <w:tc>
          <w:tcPr>
            <w:tcW w:w="6348" w:type="dxa"/>
            <w:noWrap w:val="0"/>
            <w:vAlign w:val="center"/>
          </w:tcPr>
          <w:p>
            <w:pPr>
              <w:jc w:val="left"/>
              <w:rPr>
                <w:rFonts w:ascii="宋体" w:hAnsi="宋体" w:cs="宋体"/>
                <w:bCs/>
                <w:color w:val="000000"/>
                <w:kern w:val="0"/>
                <w:szCs w:val="21"/>
                <w:lang w:bidi="ar"/>
              </w:rPr>
            </w:pPr>
            <w:r>
              <w:rPr>
                <w:rFonts w:hint="eastAsia" w:ascii="宋体" w:hAnsi="宋体" w:cs="宋体"/>
                <w:bCs/>
                <w:color w:val="000000"/>
                <w:kern w:val="0"/>
                <w:szCs w:val="21"/>
                <w:lang w:bidi="ar"/>
              </w:rPr>
              <w:t>钳：</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硬度：200HV0.2～600HV0.2</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粗糙度:头部Ra≤0.8um</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 xml:space="preserve">尺寸:D(直径)Φ1.5～Φ2.5    </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L(工作长度) 200～700</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灭菌方式：压力蒸汽灭菌、过氧化氢低温等离子体灭菌</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夹持力:≥15N</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耐腐蚀性能:b级，耐酸、耐碱（YY/T 0149标准 ）</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使用性能:钳头开闭灵活，无卡滞。</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钳头两片相互吻合，无错口，无偏摆，钳齿清晰。</w:t>
            </w:r>
          </w:p>
          <w:p>
            <w:pPr>
              <w:jc w:val="left"/>
              <w:rPr>
                <w:rFonts w:ascii="宋体" w:hAnsi="宋体" w:cs="宋体"/>
                <w:bCs/>
                <w:color w:val="000000"/>
                <w:kern w:val="0"/>
                <w:szCs w:val="21"/>
                <w:lang w:bidi="ar"/>
              </w:rPr>
            </w:pPr>
            <w:r>
              <w:rPr>
                <w:rFonts w:hint="eastAsia" w:ascii="宋体" w:hAnsi="宋体" w:cs="宋体"/>
                <w:bCs/>
                <w:color w:val="000000"/>
                <w:kern w:val="0"/>
                <w:szCs w:val="21"/>
                <w:lang w:bidi="ar"/>
              </w:rPr>
              <w:t>器械的外表面光滑，杆和管部应平直，不得有锋棱、毛刺及明显的碰伤和划痕</w:t>
            </w:r>
          </w:p>
          <w:p>
            <w:pPr>
              <w:rPr>
                <w:rFonts w:hint="eastAsia" w:ascii="宋体" w:hAnsi="宋体" w:eastAsia="宋体" w:cs="宋体"/>
                <w:color w:val="000000"/>
                <w:kern w:val="2"/>
                <w:sz w:val="21"/>
                <w:szCs w:val="21"/>
                <w:lang w:val="en-US" w:eastAsia="zh-CN" w:bidi="ar-SA"/>
              </w:rPr>
            </w:pPr>
            <w:r>
              <w:rPr>
                <w:rFonts w:hint="eastAsia" w:ascii="宋体" w:hAnsi="宋体" w:cs="宋体"/>
                <w:bCs/>
                <w:color w:val="000000"/>
                <w:kern w:val="0"/>
                <w:szCs w:val="21"/>
                <w:lang w:bidi="ar"/>
              </w:rPr>
              <w:t>器械各联接部位牢固可靠，焊缝平整、无脱焊或堆焊现象</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lang w:val="en-US" w:eastAsia="zh-CN"/>
              </w:rPr>
            </w:pPr>
            <w:r>
              <w:rPr>
                <w:rFonts w:hint="eastAsia" w:ascii="宋体" w:hAnsi="宋体" w:eastAsia="宋体" w:cs="宋体"/>
                <w:i w:val="0"/>
                <w:iCs w:val="0"/>
                <w:color w:val="000000"/>
                <w:kern w:val="0"/>
                <w:sz w:val="21"/>
                <w:szCs w:val="21"/>
                <w:u w:val="none"/>
                <w:lang w:val="en-US" w:eastAsia="zh-CN" w:bidi="ar"/>
              </w:rPr>
              <w:t>厂家承诺过保后先维修再付款</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3"/>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3"/>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2"/>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3"/>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3"/>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3"/>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37AC0"/>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79468F0"/>
    <w:rsid w:val="08AD346F"/>
    <w:rsid w:val="0A277157"/>
    <w:rsid w:val="0A323667"/>
    <w:rsid w:val="0B691EBF"/>
    <w:rsid w:val="0BDB7828"/>
    <w:rsid w:val="0D3C3F90"/>
    <w:rsid w:val="0D6B27A0"/>
    <w:rsid w:val="0D737863"/>
    <w:rsid w:val="10827943"/>
    <w:rsid w:val="11D15B1C"/>
    <w:rsid w:val="11D56F8A"/>
    <w:rsid w:val="129A029D"/>
    <w:rsid w:val="12C9410A"/>
    <w:rsid w:val="1303324F"/>
    <w:rsid w:val="14C02644"/>
    <w:rsid w:val="157B401A"/>
    <w:rsid w:val="165B3C1A"/>
    <w:rsid w:val="17453125"/>
    <w:rsid w:val="184F31D7"/>
    <w:rsid w:val="1A2E6DE6"/>
    <w:rsid w:val="1D4821A9"/>
    <w:rsid w:val="1FC94C03"/>
    <w:rsid w:val="202B56B1"/>
    <w:rsid w:val="22723315"/>
    <w:rsid w:val="22CF7097"/>
    <w:rsid w:val="232E51F6"/>
    <w:rsid w:val="23884864"/>
    <w:rsid w:val="27E45486"/>
    <w:rsid w:val="28A464B3"/>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BB420F5"/>
    <w:rsid w:val="3DB75172"/>
    <w:rsid w:val="3F1B3C4A"/>
    <w:rsid w:val="402E62DF"/>
    <w:rsid w:val="402F4957"/>
    <w:rsid w:val="405108FA"/>
    <w:rsid w:val="4136403A"/>
    <w:rsid w:val="41EF774F"/>
    <w:rsid w:val="42660058"/>
    <w:rsid w:val="43824C1A"/>
    <w:rsid w:val="449C5243"/>
    <w:rsid w:val="449E2D2B"/>
    <w:rsid w:val="46094A05"/>
    <w:rsid w:val="460A3EB2"/>
    <w:rsid w:val="463F4045"/>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84110E8"/>
    <w:rsid w:val="587C329C"/>
    <w:rsid w:val="595B205E"/>
    <w:rsid w:val="5A4777C5"/>
    <w:rsid w:val="5A6E001E"/>
    <w:rsid w:val="5CD36D91"/>
    <w:rsid w:val="5DEC7787"/>
    <w:rsid w:val="5DFE7766"/>
    <w:rsid w:val="60F93F09"/>
    <w:rsid w:val="669F4579"/>
    <w:rsid w:val="683E0693"/>
    <w:rsid w:val="685E7C65"/>
    <w:rsid w:val="68AB5C34"/>
    <w:rsid w:val="698F00A6"/>
    <w:rsid w:val="6A800692"/>
    <w:rsid w:val="6BF3478F"/>
    <w:rsid w:val="6CE64D74"/>
    <w:rsid w:val="6DCA3808"/>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6728</Words>
  <Characters>6984</Characters>
  <Lines>6</Lines>
  <Paragraphs>1</Paragraphs>
  <TotalTime>1</TotalTime>
  <ScaleCrop>false</ScaleCrop>
  <LinksUpToDate>false</LinksUpToDate>
  <CharactersWithSpaces>7399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2022-07-14T01:14:00Z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2052-11.1.0.11830</vt:lpwstr>
  </property>
  <property fmtid="{D5CDD505-2E9C-101B-9397-08002B2CF9AE}" pid="4" name="ICV">
    <vt:lpwstr>99012001CC8449E1B44B4987A03F7E88</vt:lpwstr>
  </property>
</Properties>
</file>