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numPr>
          <w:ilvl w:val="0"/>
          <w:numId w:val="1"/>
        </w:numPr>
        <w:spacing w:line="360" w:lineRule="auto"/>
        <w:rPr>
          <w:rFonts w:hint="eastAsia" w:ascii="宋体" w:hAnsi="宋体" w:eastAsia="宋体" w:cs="宋体"/>
          <w:b/>
          <w:bCs/>
          <w:sz w:val="24"/>
          <w:u w:val="none"/>
          <w:lang w:val="en-US" w:eastAsia="zh-CN"/>
        </w:rPr>
      </w:pPr>
      <w:r>
        <w:rPr>
          <w:rFonts w:hint="eastAsia" w:ascii="宋体" w:hAnsi="宋体" w:eastAsia="宋体" w:cs="宋体"/>
          <w:b/>
          <w:bCs/>
          <w:sz w:val="24"/>
        </w:rPr>
        <w:t>项目名称：</w:t>
      </w:r>
      <w:r>
        <w:rPr>
          <w:rFonts w:hint="eastAsia" w:ascii="宋体" w:hAnsi="宋体" w:eastAsia="宋体" w:cs="宋体"/>
          <w:b w:val="0"/>
          <w:bCs w:val="0"/>
          <w:sz w:val="24"/>
          <w:lang w:val="en-US" w:eastAsia="zh-CN"/>
        </w:rPr>
        <w:t>一批</w:t>
      </w:r>
      <w:r>
        <w:rPr>
          <w:rFonts w:hint="eastAsia" w:ascii="宋体" w:hAnsi="宋体" w:eastAsia="宋体" w:cs="宋体"/>
          <w:b w:val="0"/>
          <w:bCs w:val="0"/>
          <w:sz w:val="24"/>
          <w:u w:val="none"/>
          <w:lang w:val="en-US" w:eastAsia="zh-CN"/>
        </w:rPr>
        <w:t>健身器材</w:t>
      </w:r>
    </w:p>
    <w:p>
      <w:pPr>
        <w:pStyle w:val="2"/>
        <w:numPr>
          <w:ilvl w:val="0"/>
          <w:numId w:val="0"/>
        </w:numPr>
        <w:rPr>
          <w:rFonts w:hint="default"/>
          <w:sz w:val="24"/>
          <w:szCs w:val="24"/>
          <w:lang w:val="en-US" w:eastAsia="zh-CN"/>
        </w:rPr>
      </w:pPr>
      <w:r>
        <w:rPr>
          <w:rFonts w:hint="eastAsia"/>
          <w:b/>
          <w:bCs/>
          <w:sz w:val="24"/>
          <w:szCs w:val="24"/>
          <w:lang w:val="en-US" w:eastAsia="zh-CN"/>
        </w:rPr>
        <w:t>二、项目预算：</w:t>
      </w:r>
      <w:r>
        <w:rPr>
          <w:rFonts w:hint="eastAsia" w:ascii="宋体" w:hAnsi="宋体" w:eastAsia="宋体" w:cs="宋体"/>
          <w:sz w:val="24"/>
          <w:szCs w:val="24"/>
          <w:lang w:val="en-US" w:eastAsia="zh-CN"/>
        </w:rPr>
        <w:t>4.93</w:t>
      </w:r>
      <w:r>
        <w:rPr>
          <w:rFonts w:hint="eastAsia"/>
          <w:sz w:val="24"/>
          <w:szCs w:val="24"/>
          <w:lang w:val="en-US" w:eastAsia="zh-CN"/>
        </w:rPr>
        <w:t>万元</w:t>
      </w:r>
    </w:p>
    <w:p>
      <w:pPr>
        <w:pStyle w:val="2"/>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7"/>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46"/>
        <w:gridCol w:w="1875"/>
        <w:gridCol w:w="915"/>
        <w:gridCol w:w="1230"/>
        <w:gridCol w:w="5520"/>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244" w:type="pct"/>
            <w:shd w:val="clear" w:color="auto" w:fill="auto"/>
            <w:vAlign w:val="center"/>
          </w:tcPr>
          <w:p>
            <w:pPr>
              <w:pStyle w:val="2"/>
            </w:pPr>
          </w:p>
          <w:p>
            <w:pPr>
              <w:pStyle w:val="2"/>
            </w:pPr>
          </w:p>
        </w:tc>
        <w:tc>
          <w:tcPr>
            <w:tcW w:w="544"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659"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品牌型号</w:t>
            </w:r>
          </w:p>
        </w:tc>
        <w:tc>
          <w:tcPr>
            <w:tcW w:w="322"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432"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1942"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具体要求</w:t>
            </w:r>
          </w:p>
        </w:tc>
        <w:tc>
          <w:tcPr>
            <w:tcW w:w="853"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4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44"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商用跑步机</w:t>
            </w:r>
          </w:p>
        </w:tc>
        <w:tc>
          <w:tcPr>
            <w:tcW w:w="659" w:type="pct"/>
            <w:shd w:val="clear" w:color="auto" w:fill="auto"/>
            <w:vAlign w:val="center"/>
          </w:tcPr>
          <w:p>
            <w:pPr>
              <w:spacing w:line="440" w:lineRule="exact"/>
              <w:jc w:val="center"/>
              <w:rPr>
                <w:rFonts w:hint="eastAsia"/>
                <w:sz w:val="24"/>
                <w:szCs w:val="24"/>
                <w:lang w:val="en-US" w:eastAsia="zh-CN"/>
              </w:rPr>
            </w:pPr>
            <w:r>
              <w:rPr>
                <w:rFonts w:hint="eastAsia"/>
                <w:sz w:val="24"/>
                <w:szCs w:val="24"/>
                <w:lang w:val="en-US" w:eastAsia="zh-CN"/>
              </w:rPr>
              <w:t>品牌：英吉多</w:t>
            </w:r>
          </w:p>
          <w:p>
            <w:pPr>
              <w:pStyle w:val="2"/>
              <w:ind w:left="0" w:leftChars="0" w:firstLine="0" w:firstLineChars="0"/>
              <w:jc w:val="center"/>
              <w:rPr>
                <w:rFonts w:hint="default"/>
                <w:lang w:val="en-US" w:eastAsia="zh-CN"/>
              </w:rPr>
            </w:pPr>
            <w:r>
              <w:rPr>
                <w:rFonts w:hint="eastAsia" w:ascii="宋体" w:hAnsi="宋体" w:eastAsia="宋体" w:cs="宋体"/>
                <w:sz w:val="24"/>
                <w:lang w:val="en-US" w:eastAsia="zh-CN"/>
              </w:rPr>
              <w:t>型号：PK60</w:t>
            </w:r>
          </w:p>
        </w:tc>
        <w:tc>
          <w:tcPr>
            <w:tcW w:w="322"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432"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1942" w:type="pct"/>
            <w:shd w:val="clear" w:color="000000" w:fill="FFFFFF"/>
            <w:vAlign w:val="center"/>
          </w:tcPr>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1、屏幕：七视窗LED数码显示屏；</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2、USB充电功能：可通过USB口给电子设备充电；</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3、耳机插口：可外接3.5mm有线耳机；</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4、计步功能：可统计器材使用过程中用户的步数；</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5、无人自动停机功能：无人使用时可自动停止运行进入待机状态，消除安全隐患；</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6、睡眠模式：待机几分钟后自动进入睡眠模式，节能减排；</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7、总里程/总时间记录功能：记录整机使用状况，便于维护；</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8、启动/停止倒计时功能：增加安全性，易于掌控；</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9、多极高效减震、冲击吸收系统：跑步更舒适，不伤膝盖；</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10、蓝牙功能：可通过蓝牙播放音乐，增加娱乐性；</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11、机身材质：钢材立杆，塑料一体成型边条；</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12、免维护系统：故障自检系统、跑带自动纠偏系统；</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13、跑带：采用2.2mm厚度耐磨跑带，跑步面积550mm*1550mm；</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14、扶手：PU发泡扶手，并具有手扶式心率监测功能；</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15、安全：具有硬件急停功能；</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16、马达：交流变频马达，连续功率2.2KW,峰值功率3.3KW，</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17、直选键功能范围：速度范围0.8~18KM/H，坡度范围0~16%；</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18、跑板：18mm厚度单面跑板；</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19、底盘边管规格：F40*3/J40*60*2多管型框架结构；</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20、主立管规格：SJ35*60*200*2.5;</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21、滚筒尺寸： 75mm；</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22、占地面积：2200mm（长）*850mm（宽）*1510mm（高）</w:t>
            </w:r>
          </w:p>
          <w:p>
            <w:pPr>
              <w:pStyle w:val="2"/>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23、器材净重：190KG；</w:t>
            </w:r>
          </w:p>
          <w:p>
            <w:pPr>
              <w:pStyle w:val="2"/>
              <w:spacing w:line="240" w:lineRule="auto"/>
              <w:ind w:left="0" w:leftChars="0" w:firstLine="0" w:firstLineChars="0"/>
              <w:rPr>
                <w:rFonts w:hint="default"/>
                <w:sz w:val="15"/>
                <w:szCs w:val="15"/>
                <w:lang w:val="en-US" w:eastAsia="zh-CN"/>
              </w:rPr>
            </w:pPr>
            <w:r>
              <w:rPr>
                <w:rFonts w:hint="eastAsia" w:ascii="宋体" w:hAnsi="宋体" w:eastAsia="宋体" w:cs="宋体"/>
                <w:sz w:val="18"/>
                <w:szCs w:val="18"/>
                <w:lang w:val="en-US" w:eastAsia="zh-CN"/>
              </w:rPr>
              <w:t>24、最大限重:150KG。</w:t>
            </w:r>
          </w:p>
        </w:tc>
        <w:tc>
          <w:tcPr>
            <w:tcW w:w="853" w:type="pct"/>
            <w:shd w:val="clear" w:color="000000" w:fill="FFFFFF"/>
            <w:vAlign w:val="center"/>
          </w:tcPr>
          <w:p>
            <w:pPr>
              <w:pStyle w:val="2"/>
              <w:ind w:left="0" w:leftChars="0" w:firstLine="0" w:firstLineChars="0"/>
              <w:jc w:val="center"/>
              <w:rPr>
                <w:rFonts w:hint="eastAsia"/>
                <w:lang w:val="en-US" w:eastAsia="zh-CN"/>
              </w:rPr>
            </w:pPr>
            <w:r>
              <w:drawing>
                <wp:inline distT="0" distB="0" distL="114300" distR="114300">
                  <wp:extent cx="1028700" cy="903605"/>
                  <wp:effectExtent l="0" t="0" r="0" b="10795"/>
                  <wp:docPr id="12425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95" name="图片 2"/>
                          <pic:cNvPicPr>
                            <a:picLocks noChangeAspect="1"/>
                          </pic:cNvPicPr>
                        </pic:nvPicPr>
                        <pic:blipFill>
                          <a:blip r:embed="rId4"/>
                          <a:stretch>
                            <a:fillRect/>
                          </a:stretch>
                        </pic:blipFill>
                        <pic:spPr>
                          <a:xfrm>
                            <a:off x="0" y="0"/>
                            <a:ext cx="1028700" cy="9036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4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544"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商用动感单车</w:t>
            </w:r>
          </w:p>
        </w:tc>
        <w:tc>
          <w:tcPr>
            <w:tcW w:w="659" w:type="pct"/>
            <w:shd w:val="clear" w:color="auto" w:fill="auto"/>
            <w:vAlign w:val="center"/>
          </w:tcPr>
          <w:p>
            <w:pPr>
              <w:spacing w:line="440" w:lineRule="exact"/>
              <w:jc w:val="center"/>
              <w:rPr>
                <w:rFonts w:hint="eastAsia"/>
                <w:sz w:val="24"/>
                <w:szCs w:val="24"/>
                <w:lang w:val="en-US" w:eastAsia="zh-CN"/>
              </w:rPr>
            </w:pPr>
            <w:r>
              <w:rPr>
                <w:rFonts w:hint="eastAsia"/>
                <w:sz w:val="24"/>
                <w:szCs w:val="24"/>
                <w:lang w:val="en-US" w:eastAsia="zh-CN"/>
              </w:rPr>
              <w:t>品牌：利凯</w:t>
            </w:r>
          </w:p>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型号：L-90P</w:t>
            </w:r>
          </w:p>
        </w:tc>
        <w:tc>
          <w:tcPr>
            <w:tcW w:w="322"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432"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94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1、颜色：珠光白色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2、包装：七层瓦楞纸箱+泡沫</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3、重量：总重60kg，净重58kg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4、最大承重：150kg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5、包装尺寸：L1180xW260xH970(mm)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6、产品尺寸：L1180xW570xH1100(mm)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7、车架：几何结构+人体工程学设计的主体支架采用进口机器人焊接保证焊接坚固与美观，适合各种体型人群骑行；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8、飞轮：采用铝合金飞轮与磁阻刹车系统完美结合；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9、扶手：采用防滑材料，设有双水壶支架，调节位置采用铝合金材料；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10、制动：采用最先进的磁控阻力刹车系统，刹车与飞轮零接触，阻力均匀平稳，刹车系统真正免维护，双片挡汗板设计为飞轮与制动系统提供周密保护；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11、传动：采用进口同步带传动系统，无需调整且不会打滑，骑行过程更静音平滑；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12、烤漆：整车表面采用整体化学处理，物理喷沙，再经过双层静电喷涂技术处理，使产品表面硬度高，附着力强，耐腐蚀，单车整体美观耐碰撞；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13、中轴：采用进口花键中轴，承载大，受力均匀，使用寿命长，便于拆卸；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14、曲柄：经由繁工锻造的花键曲柄，导向性好，便于拆卸，使用寿命长；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highlight w:val="yellow"/>
                <w:lang w:eastAsia="zh-CN"/>
              </w:rPr>
            </w:pPr>
            <w:r>
              <w:rPr>
                <w:rFonts w:hint="eastAsia" w:ascii="宋体" w:hAnsi="宋体" w:eastAsia="宋体" w:cs="宋体"/>
                <w:sz w:val="18"/>
                <w:szCs w:val="18"/>
                <w:highlight w:val="none"/>
                <w:lang w:val="en-US" w:eastAsia="zh-CN"/>
              </w:rPr>
              <w:t>15、脚踏：采用 20mm 加粗轴心，更大承重，全铝合金脚踏有效延长使用寿命。</w:t>
            </w:r>
          </w:p>
        </w:tc>
        <w:tc>
          <w:tcPr>
            <w:tcW w:w="85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1402080" cy="1445895"/>
                  <wp:effectExtent l="0" t="0" r="7620" b="1905"/>
                  <wp:docPr id="1" name="图片 1" descr="165715984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7159845072"/>
                          <pic:cNvPicPr>
                            <a:picLocks noChangeAspect="1"/>
                          </pic:cNvPicPr>
                        </pic:nvPicPr>
                        <pic:blipFill>
                          <a:blip r:embed="rId5"/>
                          <a:stretch>
                            <a:fillRect/>
                          </a:stretch>
                        </pic:blipFill>
                        <pic:spPr>
                          <a:xfrm>
                            <a:off x="0" y="0"/>
                            <a:ext cx="1402080" cy="14458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44"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44"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哑铃</w:t>
            </w:r>
          </w:p>
        </w:tc>
        <w:tc>
          <w:tcPr>
            <w:tcW w:w="659" w:type="pct"/>
            <w:shd w:val="clear" w:color="auto" w:fill="auto"/>
            <w:vAlign w:val="center"/>
          </w:tcPr>
          <w:p>
            <w:pPr>
              <w:spacing w:line="440" w:lineRule="exact"/>
              <w:jc w:val="center"/>
              <w:rPr>
                <w:rFonts w:hint="eastAsia"/>
                <w:sz w:val="24"/>
                <w:szCs w:val="24"/>
                <w:lang w:val="en-US" w:eastAsia="zh-CN"/>
              </w:rPr>
            </w:pPr>
            <w:r>
              <w:rPr>
                <w:rFonts w:hint="eastAsia"/>
                <w:sz w:val="24"/>
                <w:szCs w:val="24"/>
                <w:lang w:val="en-US" w:eastAsia="zh-CN"/>
              </w:rPr>
              <w:t>品牌：南通大兵</w:t>
            </w:r>
          </w:p>
          <w:p>
            <w:pPr>
              <w:pStyle w:val="2"/>
              <w:ind w:left="0" w:leftChars="0" w:firstLine="0" w:firstLineChars="0"/>
              <w:jc w:val="center"/>
              <w:rPr>
                <w:rFonts w:hint="default"/>
                <w:lang w:val="en-US" w:eastAsia="zh-CN"/>
              </w:rPr>
            </w:pPr>
            <w:r>
              <w:rPr>
                <w:rFonts w:hint="eastAsia" w:ascii="宋体" w:hAnsi="宋体" w:eastAsia="宋体" w:cs="宋体"/>
                <w:sz w:val="24"/>
                <w:lang w:val="en-US" w:eastAsia="zh-CN"/>
              </w:rPr>
              <w:t>型号：Dab048</w:t>
            </w:r>
          </w:p>
        </w:tc>
        <w:tc>
          <w:tcPr>
            <w:tcW w:w="32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432"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个</w:t>
            </w:r>
          </w:p>
        </w:tc>
        <w:tc>
          <w:tcPr>
            <w:tcW w:w="1942" w:type="pct"/>
            <w:shd w:val="clear" w:color="000000" w:fill="FFFFFF"/>
            <w:vAlign w:val="center"/>
          </w:tcPr>
          <w:p>
            <w:pPr>
              <w:spacing w:line="240" w:lineRule="auto"/>
              <w:rPr>
                <w:rFonts w:hint="eastAsia"/>
                <w:sz w:val="18"/>
                <w:szCs w:val="18"/>
                <w:lang w:val="en-US" w:eastAsia="zh-CN"/>
              </w:rPr>
            </w:pPr>
            <w:r>
              <w:rPr>
                <w:rFonts w:hint="default"/>
                <w:sz w:val="18"/>
                <w:szCs w:val="18"/>
                <w:lang w:val="en-US" w:eastAsia="zh-CN"/>
              </w:rPr>
              <w:t>环保天然橡胶哑铃，圆钢内芯，豪华电镀直握杆</w:t>
            </w:r>
            <w:r>
              <w:rPr>
                <w:rFonts w:hint="eastAsia"/>
                <w:sz w:val="18"/>
                <w:szCs w:val="18"/>
                <w:lang w:val="en-US" w:eastAsia="zh-CN"/>
              </w:rPr>
              <w:t>。</w:t>
            </w:r>
          </w:p>
          <w:p>
            <w:pPr>
              <w:pStyle w:val="2"/>
              <w:spacing w:line="240" w:lineRule="auto"/>
              <w:ind w:left="0" w:leftChars="0" w:firstLine="0" w:firstLineChars="0"/>
              <w:rPr>
                <w:rFonts w:hint="default"/>
                <w:lang w:val="en-US" w:eastAsia="zh-CN"/>
              </w:rPr>
            </w:pPr>
            <w:r>
              <w:rPr>
                <w:rFonts w:hint="eastAsia" w:ascii="宋体" w:hAnsi="宋体" w:eastAsia="宋体" w:cs="宋体"/>
                <w:sz w:val="18"/>
                <w:szCs w:val="18"/>
                <w:lang w:val="en-US" w:eastAsia="zh-CN"/>
              </w:rPr>
              <w:t>15KG*2个，17.5KG*2个，20KG*2个，22.5KG*2个，共计150KG。</w:t>
            </w:r>
          </w:p>
        </w:tc>
        <w:tc>
          <w:tcPr>
            <w:tcW w:w="853"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r>
              <w:drawing>
                <wp:inline distT="0" distB="0" distL="114300" distR="114300">
                  <wp:extent cx="1489710" cy="992505"/>
                  <wp:effectExtent l="0" t="0" r="15240" b="17145"/>
                  <wp:docPr id="1242717" name="图片 125" descr="1c84216713e613f4429f9da95871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7" name="图片 125" descr="1c84216713e613f4429f9da9587105a"/>
                          <pic:cNvPicPr>
                            <a:picLocks noChangeAspect="1"/>
                          </pic:cNvPicPr>
                        </pic:nvPicPr>
                        <pic:blipFill>
                          <a:blip r:embed="rId6"/>
                          <a:stretch>
                            <a:fillRect/>
                          </a:stretch>
                        </pic:blipFill>
                        <pic:spPr>
                          <a:xfrm>
                            <a:off x="0" y="0"/>
                            <a:ext cx="1489710" cy="9925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244"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544" w:type="pct"/>
            <w:shd w:val="clear" w:color="000000" w:fill="FFFFFF"/>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商用杠铃片</w:t>
            </w:r>
          </w:p>
        </w:tc>
        <w:tc>
          <w:tcPr>
            <w:tcW w:w="659" w:type="pct"/>
            <w:shd w:val="clear" w:color="auto" w:fill="auto"/>
            <w:vAlign w:val="center"/>
          </w:tcPr>
          <w:p>
            <w:pPr>
              <w:spacing w:line="440" w:lineRule="exact"/>
              <w:jc w:val="center"/>
              <w:rPr>
                <w:rFonts w:hint="eastAsia"/>
                <w:sz w:val="24"/>
                <w:szCs w:val="24"/>
                <w:lang w:val="en-US" w:eastAsia="zh-CN"/>
              </w:rPr>
            </w:pPr>
            <w:r>
              <w:rPr>
                <w:rFonts w:hint="eastAsia"/>
                <w:sz w:val="24"/>
                <w:szCs w:val="24"/>
                <w:lang w:val="en-US" w:eastAsia="zh-CN"/>
              </w:rPr>
              <w:t>品牌：南通大兵</w:t>
            </w:r>
          </w:p>
          <w:p>
            <w:pPr>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型号：Dab050</w:t>
            </w:r>
          </w:p>
        </w:tc>
        <w:tc>
          <w:tcPr>
            <w:tcW w:w="322"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8</w:t>
            </w:r>
          </w:p>
        </w:tc>
        <w:tc>
          <w:tcPr>
            <w:tcW w:w="432" w:type="pct"/>
            <w:vAlign w:val="center"/>
          </w:tcPr>
          <w:p>
            <w:pPr>
              <w:spacing w:line="440" w:lineRule="exact"/>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片</w:t>
            </w:r>
          </w:p>
        </w:tc>
        <w:tc>
          <w:tcPr>
            <w:tcW w:w="1942" w:type="pct"/>
            <w:shd w:val="clear" w:color="000000" w:fill="FFFFFF"/>
            <w:vAlign w:val="center"/>
          </w:tcPr>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25KG*2片，20KG*2片，15KG*2片，10KG*2片，</w:t>
            </w:r>
          </w:p>
          <w:p>
            <w:pPr>
              <w:pStyle w:val="2"/>
              <w:ind w:left="0" w:leftChars="0" w:firstLine="0" w:firstLineChars="0"/>
              <w:rPr>
                <w:rFonts w:hint="default"/>
                <w:lang w:val="en-US" w:eastAsia="zh-CN"/>
              </w:rPr>
            </w:pPr>
            <w:r>
              <w:rPr>
                <w:rFonts w:hint="eastAsia" w:ascii="宋体" w:hAnsi="宋体" w:eastAsia="宋体" w:cs="宋体"/>
                <w:sz w:val="18"/>
                <w:szCs w:val="18"/>
                <w:lang w:val="en-US" w:eastAsia="zh-CN"/>
              </w:rPr>
              <w:t>共计140KG</w:t>
            </w:r>
          </w:p>
        </w:tc>
        <w:tc>
          <w:tcPr>
            <w:tcW w:w="853" w:type="pct"/>
            <w:shd w:val="clear" w:color="000000" w:fill="FFFFFF"/>
            <w:vAlign w:val="center"/>
          </w:tcPr>
          <w:p>
            <w:pPr>
              <w:pStyle w:val="2"/>
              <w:ind w:left="0" w:leftChars="0" w:firstLine="0" w:firstLineChars="0"/>
              <w:jc w:val="center"/>
              <w:rPr>
                <w:rFonts w:hint="eastAsia"/>
                <w:lang w:val="en-US" w:eastAsia="zh-CN"/>
              </w:rPr>
            </w:pPr>
            <w:r>
              <w:drawing>
                <wp:inline distT="0" distB="0" distL="114300" distR="114300">
                  <wp:extent cx="1058545" cy="701675"/>
                  <wp:effectExtent l="0" t="0" r="8255" b="3175"/>
                  <wp:docPr id="1242719" name="图片 126"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9" name="图片 126" descr="40"/>
                          <pic:cNvPicPr>
                            <a:picLocks noChangeAspect="1"/>
                          </pic:cNvPicPr>
                        </pic:nvPicPr>
                        <pic:blipFill>
                          <a:blip r:embed="rId7"/>
                          <a:stretch>
                            <a:fillRect/>
                          </a:stretch>
                        </pic:blipFill>
                        <pic:spPr>
                          <a:xfrm>
                            <a:off x="0" y="0"/>
                            <a:ext cx="1058545" cy="7016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244"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544" w:type="pct"/>
            <w:shd w:val="clear" w:color="000000" w:fill="FFFFFF"/>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防震地垫</w:t>
            </w:r>
          </w:p>
        </w:tc>
        <w:tc>
          <w:tcPr>
            <w:tcW w:w="659" w:type="pct"/>
            <w:shd w:val="clear" w:color="auto" w:fill="auto"/>
            <w:vAlign w:val="center"/>
          </w:tcPr>
          <w:p>
            <w:pPr>
              <w:spacing w:line="440" w:lineRule="exact"/>
              <w:jc w:val="center"/>
              <w:rPr>
                <w:rFonts w:hint="eastAsia"/>
                <w:sz w:val="24"/>
                <w:szCs w:val="24"/>
                <w:lang w:val="en-US" w:eastAsia="zh-CN"/>
              </w:rPr>
            </w:pPr>
            <w:r>
              <w:rPr>
                <w:rFonts w:hint="eastAsia"/>
                <w:sz w:val="24"/>
                <w:szCs w:val="24"/>
                <w:lang w:val="en-US" w:eastAsia="zh-CN"/>
              </w:rPr>
              <w:t>品牌：健力</w:t>
            </w:r>
          </w:p>
          <w:p>
            <w:pPr>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型号：JL-001</w:t>
            </w:r>
          </w:p>
        </w:tc>
        <w:tc>
          <w:tcPr>
            <w:tcW w:w="32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40</w:t>
            </w:r>
          </w:p>
        </w:tc>
        <w:tc>
          <w:tcPr>
            <w:tcW w:w="432" w:type="pct"/>
            <w:vAlign w:val="center"/>
          </w:tcPr>
          <w:p>
            <w:pPr>
              <w:spacing w:line="440" w:lineRule="exact"/>
              <w:jc w:val="center"/>
              <w:rPr>
                <w:rFonts w:hint="default" w:ascii="宋体" w:hAnsi="宋体" w:cs="宋体"/>
                <w:sz w:val="24"/>
                <w:lang w:val="en-US" w:eastAsia="zh-CN"/>
              </w:rPr>
            </w:pPr>
            <w:r>
              <w:rPr>
                <w:rFonts w:hint="eastAsia" w:ascii="宋体" w:hAnsi="宋体" w:cs="宋体"/>
                <w:sz w:val="24"/>
                <w:lang w:val="en-US" w:eastAsia="zh-CN"/>
              </w:rPr>
              <w:t>张</w:t>
            </w:r>
          </w:p>
        </w:tc>
        <w:tc>
          <w:tcPr>
            <w:tcW w:w="1942" w:type="pct"/>
            <w:shd w:val="clear" w:color="000000" w:fill="FFFFFF"/>
            <w:vAlign w:val="center"/>
          </w:tcPr>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1、厚2cm，500X500mm。</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2、拉伸强度（Q/WMR01-2009）约x1.4MPA</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3、须使用高品质天然橡胶、合成橡胶制成，采用橡胶粒与粘合剂无毒污染颜料，经模压热固成型，不含卤素，燃烧无毒物，是绿色环保产品。</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4、产品抗压，耐冲击，摩擦系数大，有弹性，减震防滑，防护性能强。地垫颜色须从内到外保持一致，能经久耐用、色彩稳定。</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5、吸音性能强，最大限度的吸收噪音和回声，经国家级检测的吸音数值须达13分贝及以上。</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6、用天然橡胶、合成橡胶制成，具有一定的弹性，能够缓解冲击力。</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7、抗紫外线性能好，良好的电绝缘性率（Q/WMR01-2009）约x88%</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8、硬度（Q/WMR01-2009）约56HA</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9、适合范围：约-40°C~+100°C</w:t>
            </w: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10、耐候性、耐温性能好，在-40°-100°范围内可正常使用。</w:t>
            </w:r>
          </w:p>
          <w:p>
            <w:pPr>
              <w:pStyle w:val="2"/>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18"/>
                <w:szCs w:val="18"/>
                <w:lang w:val="en-US" w:eastAsia="zh-CN"/>
              </w:rPr>
              <w:t>11、耐水性能好，表面易清洗，好保养。</w:t>
            </w:r>
          </w:p>
        </w:tc>
        <w:tc>
          <w:tcPr>
            <w:tcW w:w="853" w:type="pct"/>
            <w:shd w:val="clear" w:color="000000" w:fill="FFFFFF"/>
            <w:vAlign w:val="center"/>
          </w:tcPr>
          <w:p>
            <w:pPr>
              <w:pStyle w:val="2"/>
              <w:ind w:left="0" w:leftChars="0" w:firstLine="0" w:firstLineChars="0"/>
              <w:jc w:val="center"/>
              <w:rPr>
                <w:rFonts w:hint="eastAsia"/>
                <w:lang w:val="en-US" w:eastAsia="zh-CN"/>
              </w:rPr>
            </w:pPr>
            <w:r>
              <w:drawing>
                <wp:inline distT="0" distB="0" distL="114300" distR="114300">
                  <wp:extent cx="1339215" cy="1039495"/>
                  <wp:effectExtent l="0" t="0" r="13335" b="8255"/>
                  <wp:docPr id="12427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20" name="图片 2"/>
                          <pic:cNvPicPr>
                            <a:picLocks noChangeAspect="1"/>
                          </pic:cNvPicPr>
                        </pic:nvPicPr>
                        <pic:blipFill>
                          <a:blip r:embed="rId8"/>
                          <a:stretch>
                            <a:fillRect/>
                          </a:stretch>
                        </pic:blipFill>
                        <pic:spPr>
                          <a:xfrm>
                            <a:off x="0" y="0"/>
                            <a:ext cx="1339215" cy="103949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244"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544" w:type="pct"/>
            <w:shd w:val="clear" w:color="000000" w:fill="FFFFFF"/>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商用45度倒蹬机</w:t>
            </w:r>
          </w:p>
        </w:tc>
        <w:tc>
          <w:tcPr>
            <w:tcW w:w="659" w:type="pct"/>
            <w:shd w:val="clear" w:color="auto" w:fill="auto"/>
            <w:vAlign w:val="center"/>
          </w:tcPr>
          <w:p>
            <w:pPr>
              <w:spacing w:line="440" w:lineRule="exact"/>
              <w:jc w:val="center"/>
              <w:rPr>
                <w:rFonts w:hint="eastAsia"/>
                <w:sz w:val="24"/>
                <w:szCs w:val="24"/>
                <w:lang w:val="en-US" w:eastAsia="zh-CN"/>
              </w:rPr>
            </w:pPr>
            <w:r>
              <w:rPr>
                <w:rFonts w:hint="eastAsia"/>
                <w:sz w:val="24"/>
                <w:szCs w:val="24"/>
                <w:lang w:val="en-US" w:eastAsia="zh-CN"/>
              </w:rPr>
              <w:t>品牌：阳锐</w:t>
            </w:r>
          </w:p>
          <w:p>
            <w:pPr>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型号：82028</w:t>
            </w:r>
          </w:p>
        </w:tc>
        <w:tc>
          <w:tcPr>
            <w:tcW w:w="32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432" w:type="pct"/>
            <w:vAlign w:val="center"/>
          </w:tcPr>
          <w:p>
            <w:pPr>
              <w:spacing w:line="440" w:lineRule="exact"/>
              <w:jc w:val="center"/>
              <w:rPr>
                <w:rFonts w:hint="default" w:ascii="宋体" w:hAnsi="宋体" w:cs="宋体"/>
                <w:sz w:val="24"/>
                <w:lang w:val="en-US" w:eastAsia="zh-CN"/>
              </w:rPr>
            </w:pPr>
            <w:r>
              <w:rPr>
                <w:rFonts w:hint="eastAsia" w:ascii="宋体" w:hAnsi="宋体" w:cs="宋体"/>
                <w:sz w:val="24"/>
                <w:lang w:val="en-US" w:eastAsia="zh-CN"/>
              </w:rPr>
              <w:t>台</w:t>
            </w:r>
          </w:p>
        </w:tc>
        <w:tc>
          <w:tcPr>
            <w:tcW w:w="1942" w:type="pct"/>
            <w:shd w:val="clear" w:color="000000" w:fill="FFFFFF"/>
            <w:vAlign w:val="center"/>
          </w:tcPr>
          <w:p>
            <w:pPr>
              <w:pStyle w:val="2"/>
              <w:ind w:left="0" w:leftChars="0" w:firstLine="0" w:firstLineChars="0"/>
              <w:rPr>
                <w:rFonts w:hint="eastAsia"/>
                <w:sz w:val="18"/>
                <w:szCs w:val="18"/>
                <w:lang w:val="en-US" w:eastAsia="zh-CN"/>
              </w:rPr>
            </w:pPr>
            <w:r>
              <w:rPr>
                <w:rFonts w:hint="eastAsia"/>
                <w:sz w:val="18"/>
                <w:szCs w:val="18"/>
                <w:lang w:val="en-US" w:eastAsia="zh-CN"/>
              </w:rPr>
              <w:t>1、主机框架采用40*80*3.0mm管。所有管材材质均为Q235。上海三恩金属公司制造。</w:t>
            </w:r>
          </w:p>
          <w:p>
            <w:pPr>
              <w:pStyle w:val="2"/>
              <w:ind w:left="0" w:leftChars="0" w:firstLine="0" w:firstLineChars="0"/>
              <w:rPr>
                <w:rFonts w:hint="eastAsia"/>
                <w:sz w:val="18"/>
                <w:szCs w:val="18"/>
                <w:lang w:val="en-US" w:eastAsia="zh-CN"/>
              </w:rPr>
            </w:pPr>
            <w:r>
              <w:rPr>
                <w:rFonts w:hint="eastAsia"/>
                <w:sz w:val="18"/>
                <w:szCs w:val="18"/>
                <w:lang w:val="en-US" w:eastAsia="zh-CN"/>
              </w:rPr>
              <w:t>2、人机工程学设计，轨迹准确，运行平稳。</w:t>
            </w:r>
          </w:p>
          <w:p>
            <w:pPr>
              <w:pStyle w:val="2"/>
              <w:ind w:left="0" w:leftChars="0" w:firstLine="0" w:firstLineChars="0"/>
              <w:rPr>
                <w:rFonts w:hint="eastAsia"/>
                <w:sz w:val="18"/>
                <w:szCs w:val="18"/>
                <w:lang w:val="en-US" w:eastAsia="zh-CN"/>
              </w:rPr>
            </w:pPr>
            <w:r>
              <w:rPr>
                <w:rFonts w:hint="eastAsia"/>
                <w:sz w:val="18"/>
                <w:szCs w:val="18"/>
                <w:lang w:val="en-US" w:eastAsia="zh-CN"/>
              </w:rPr>
              <w:t>3、三段式杠铃片挂杆，内部长轴直通，大承重，更安全。表面镀铬处理，美观耐用。</w:t>
            </w:r>
          </w:p>
          <w:p>
            <w:pPr>
              <w:pStyle w:val="2"/>
              <w:ind w:left="0" w:leftChars="0" w:firstLine="0" w:firstLineChars="0"/>
              <w:rPr>
                <w:rFonts w:hint="eastAsia"/>
                <w:sz w:val="18"/>
                <w:szCs w:val="18"/>
                <w:lang w:val="en-US" w:eastAsia="zh-CN"/>
              </w:rPr>
            </w:pPr>
            <w:r>
              <w:rPr>
                <w:rFonts w:hint="eastAsia"/>
                <w:sz w:val="18"/>
                <w:szCs w:val="18"/>
                <w:lang w:val="en-US" w:eastAsia="zh-CN"/>
              </w:rPr>
              <w:t>4、座垫及靠背垫采用MC高回弹料一体发泡而成，高档PU革覆面，舒适耐用，美观大方。安全、舒适、耐用。</w:t>
            </w:r>
          </w:p>
          <w:p>
            <w:pPr>
              <w:pStyle w:val="2"/>
              <w:ind w:left="0" w:leftChars="0" w:firstLine="0" w:firstLineChars="0"/>
              <w:rPr>
                <w:rFonts w:hint="eastAsia"/>
                <w:sz w:val="18"/>
                <w:szCs w:val="18"/>
                <w:lang w:val="en-US" w:eastAsia="zh-CN"/>
              </w:rPr>
            </w:pPr>
            <w:r>
              <w:rPr>
                <w:rFonts w:hint="eastAsia"/>
                <w:sz w:val="18"/>
                <w:szCs w:val="18"/>
                <w:lang w:val="en-US" w:eastAsia="zh-CN"/>
              </w:rPr>
              <w:t>5、靠背双角度可调，调节自动循环设计，体验不同训练效果。</w:t>
            </w:r>
          </w:p>
          <w:p>
            <w:pPr>
              <w:pStyle w:val="2"/>
              <w:ind w:left="0" w:leftChars="0" w:firstLine="0" w:firstLineChars="0"/>
              <w:rPr>
                <w:rFonts w:hint="eastAsia"/>
                <w:sz w:val="15"/>
                <w:szCs w:val="15"/>
                <w:lang w:val="en-US" w:eastAsia="zh-CN"/>
              </w:rPr>
            </w:pPr>
            <w:r>
              <w:rPr>
                <w:rFonts w:hint="eastAsia"/>
                <w:sz w:val="18"/>
                <w:szCs w:val="18"/>
                <w:lang w:val="en-US" w:eastAsia="zh-CN"/>
              </w:rPr>
              <w:t>6、导轨φ76，表面高频淬火处理，无心磨工艺，电镀硬铬。安全、耐用。</w:t>
            </w:r>
          </w:p>
        </w:tc>
        <w:tc>
          <w:tcPr>
            <w:tcW w:w="853" w:type="pct"/>
            <w:shd w:val="clear" w:color="000000" w:fill="FFFFFF"/>
            <w:vAlign w:val="center"/>
          </w:tcPr>
          <w:p>
            <w:pPr>
              <w:pStyle w:val="2"/>
              <w:ind w:left="0" w:leftChars="0" w:firstLine="0" w:firstLineChars="0"/>
              <w:rPr>
                <w:rFonts w:hint="eastAsia"/>
                <w:lang w:val="en-US" w:eastAsia="zh-CN"/>
              </w:rPr>
            </w:pPr>
            <w:r>
              <w:drawing>
                <wp:inline distT="0" distB="0" distL="114300" distR="114300">
                  <wp:extent cx="1494155" cy="854710"/>
                  <wp:effectExtent l="0" t="0" r="10795" b="2540"/>
                  <wp:docPr id="12425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96" name="图片 4"/>
                          <pic:cNvPicPr>
                            <a:picLocks noChangeAspect="1"/>
                          </pic:cNvPicPr>
                        </pic:nvPicPr>
                        <pic:blipFill>
                          <a:blip r:embed="rId9"/>
                          <a:stretch>
                            <a:fillRect/>
                          </a:stretch>
                        </pic:blipFill>
                        <pic:spPr>
                          <a:xfrm>
                            <a:off x="0" y="0"/>
                            <a:ext cx="1494155" cy="854710"/>
                          </a:xfrm>
                          <a:prstGeom prst="rect">
                            <a:avLst/>
                          </a:prstGeom>
                          <a:noFill/>
                          <a:ln w="9525">
                            <a:noFill/>
                          </a:ln>
                        </pic:spPr>
                      </pic:pic>
                    </a:graphicData>
                  </a:graphic>
                </wp:inline>
              </w:drawing>
            </w:r>
          </w:p>
        </w:tc>
      </w:tr>
    </w:tbl>
    <w:p>
      <w:pPr>
        <w:pStyle w:val="2"/>
        <w:ind w:firstLine="0" w:firstLineChars="0"/>
        <w:rPr>
          <w:rFonts w:hint="default" w:ascii="宋体" w:hAnsi="宋体" w:eastAsia="宋体" w:cs="宋体"/>
          <w:sz w:val="24"/>
          <w:lang w:val="en-US" w:eastAsia="zh-CN"/>
        </w:rPr>
      </w:pPr>
    </w:p>
    <w:p>
      <w:pPr>
        <w:pStyle w:val="2"/>
        <w:ind w:firstLine="0" w:firstLineChars="0"/>
        <w:rPr>
          <w:rFonts w:hint="default" w:ascii="宋体" w:hAnsi="宋体" w:eastAsia="宋体" w:cs="宋体"/>
          <w:sz w:val="24"/>
          <w:lang w:val="en-US" w:eastAsia="zh-CN"/>
        </w:rPr>
      </w:pPr>
    </w:p>
    <w:p>
      <w:pPr>
        <w:pStyle w:val="2"/>
        <w:numPr>
          <w:ilvl w:val="0"/>
          <w:numId w:val="0"/>
        </w:num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四、付款方式：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2"/>
        <w:numPr>
          <w:ilvl w:val="0"/>
          <w:numId w:val="0"/>
        </w:numPr>
        <w:spacing w:line="360" w:lineRule="auto"/>
        <w:ind w:firstLine="480" w:firstLineChars="200"/>
        <w:rPr>
          <w:rFonts w:hint="default" w:ascii="宋体" w:hAnsi="宋体" w:eastAsia="宋体" w:cs="宋体"/>
          <w:sz w:val="24"/>
          <w:lang w:val="en-US" w:eastAsia="zh-CN"/>
        </w:rPr>
      </w:pPr>
    </w:p>
    <w:p>
      <w:pPr>
        <w:pStyle w:val="2"/>
        <w:numPr>
          <w:ilvl w:val="0"/>
          <w:numId w:val="0"/>
        </w:numPr>
        <w:spacing w:line="360" w:lineRule="auto"/>
        <w:ind w:left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五、货物质量保证和标准</w:t>
      </w:r>
    </w:p>
    <w:p>
      <w:pPr>
        <w:pStyle w:val="2"/>
        <w:numPr>
          <w:ilvl w:val="0"/>
          <w:numId w:val="0"/>
        </w:numPr>
        <w:spacing w:line="360" w:lineRule="auto"/>
        <w:ind w:leftChars="0"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1、本项目所有产品应提供自货物验收合格并交付使用后至少</w:t>
      </w:r>
      <w:r>
        <w:rPr>
          <w:rFonts w:hint="eastAsia" w:ascii="宋体" w:hAnsi="宋体" w:eastAsia="宋体" w:cs="宋体"/>
          <w:b w:val="0"/>
          <w:bCs w:val="0"/>
          <w:sz w:val="24"/>
          <w:u w:val="single"/>
          <w:lang w:val="en-US" w:eastAsia="zh-CN"/>
        </w:rPr>
        <w:t>1年</w:t>
      </w:r>
      <w:r>
        <w:rPr>
          <w:rFonts w:hint="eastAsia" w:ascii="宋体" w:hAnsi="宋体" w:eastAsia="宋体" w:cs="宋体"/>
          <w:b w:val="0"/>
          <w:bCs w:val="0"/>
          <w:sz w:val="24"/>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4"/>
          <w:lang w:val="en-US" w:eastAsia="zh-CN"/>
        </w:rPr>
      </w:pPr>
    </w:p>
    <w:p>
      <w:pPr>
        <w:pStyle w:val="2"/>
        <w:numPr>
          <w:ilvl w:val="0"/>
          <w:numId w:val="0"/>
        </w:numPr>
        <w:spacing w:line="360" w:lineRule="auto"/>
        <w:ind w:leftChars="0"/>
        <w:rPr>
          <w:rFonts w:hint="eastAsia" w:ascii="宋体" w:hAnsi="宋体" w:eastAsia="宋体" w:cs="宋体"/>
          <w:b w:val="0"/>
          <w:bCs w:val="0"/>
          <w:sz w:val="24"/>
          <w:lang w:val="en-US" w:eastAsia="zh-CN"/>
        </w:rPr>
      </w:pPr>
    </w:p>
    <w:p>
      <w:pPr>
        <w:pStyle w:val="2"/>
        <w:numPr>
          <w:ilvl w:val="0"/>
          <w:numId w:val="0"/>
        </w:numPr>
        <w:spacing w:line="360" w:lineRule="auto"/>
        <w:ind w:leftChars="0"/>
        <w:rPr>
          <w:rFonts w:hint="eastAsia" w:ascii="宋体" w:hAnsi="宋体" w:eastAsia="宋体" w:cs="宋体"/>
          <w:b w:val="0"/>
          <w:bCs w:val="0"/>
          <w:sz w:val="24"/>
          <w:lang w:val="en-US" w:eastAsia="zh-CN"/>
        </w:rPr>
      </w:pP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1、所供应的货物是最新生产的符合国家技术规格和质量标准的出厂原装合格产品。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2"/>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2"/>
        <w:numPr>
          <w:ilvl w:val="0"/>
          <w:numId w:val="0"/>
        </w:numPr>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▲1、投标供应商需</w:t>
      </w:r>
      <w:r>
        <w:rPr>
          <w:rFonts w:hint="default"/>
          <w:b w:val="0"/>
          <w:bCs w:val="0"/>
          <w:sz w:val="24"/>
          <w:szCs w:val="24"/>
          <w:lang w:val="en-US" w:eastAsia="zh-CN"/>
        </w:rPr>
        <w:t>提供产品制造商</w:t>
      </w:r>
      <w:r>
        <w:rPr>
          <w:rFonts w:hint="eastAsia"/>
          <w:b w:val="0"/>
          <w:bCs w:val="0"/>
          <w:sz w:val="24"/>
          <w:szCs w:val="24"/>
          <w:lang w:val="en-US" w:eastAsia="zh-CN"/>
        </w:rPr>
        <w:t>的</w:t>
      </w:r>
      <w:r>
        <w:rPr>
          <w:rFonts w:hint="default"/>
          <w:b w:val="0"/>
          <w:bCs w:val="0"/>
          <w:sz w:val="24"/>
          <w:szCs w:val="24"/>
          <w:lang w:val="en-US" w:eastAsia="zh-CN"/>
        </w:rPr>
        <w:t>项目授权书</w:t>
      </w:r>
      <w:r>
        <w:rPr>
          <w:rFonts w:hint="eastAsia"/>
          <w:b w:val="0"/>
          <w:bCs w:val="0"/>
          <w:sz w:val="24"/>
          <w:szCs w:val="24"/>
          <w:lang w:val="en-US" w:eastAsia="zh-CN"/>
        </w:rPr>
        <w:t>原厂盖章</w:t>
      </w:r>
      <w:r>
        <w:rPr>
          <w:rFonts w:hint="default"/>
          <w:b w:val="0"/>
          <w:bCs w:val="0"/>
          <w:sz w:val="24"/>
          <w:szCs w:val="24"/>
          <w:lang w:val="en-US" w:eastAsia="zh-CN"/>
        </w:rPr>
        <w:t>以及制造商</w:t>
      </w:r>
      <w:r>
        <w:rPr>
          <w:rFonts w:hint="eastAsia"/>
          <w:b w:val="0"/>
          <w:bCs w:val="0"/>
          <w:sz w:val="24"/>
          <w:szCs w:val="24"/>
          <w:lang w:val="en-US" w:eastAsia="zh-CN"/>
        </w:rPr>
        <w:t>出具的</w:t>
      </w:r>
      <w:r>
        <w:rPr>
          <w:rFonts w:hint="default"/>
          <w:b w:val="0"/>
          <w:bCs w:val="0"/>
          <w:sz w:val="24"/>
          <w:szCs w:val="24"/>
          <w:lang w:val="en-US" w:eastAsia="zh-CN"/>
        </w:rPr>
        <w:t>售后服务函</w:t>
      </w:r>
      <w:r>
        <w:rPr>
          <w:rFonts w:hint="eastAsia"/>
          <w:b w:val="0"/>
          <w:bCs w:val="0"/>
          <w:sz w:val="24"/>
          <w:szCs w:val="24"/>
          <w:lang w:val="en-US" w:eastAsia="zh-CN"/>
        </w:rPr>
        <w:t>原厂盖章，同时加盖单位公章。</w:t>
      </w:r>
    </w:p>
    <w:p>
      <w:pPr>
        <w:pStyle w:val="2"/>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2、合同签订后乙方须在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2"/>
        <w:numPr>
          <w:ilvl w:val="0"/>
          <w:numId w:val="0"/>
        </w:numPr>
        <w:spacing w:line="360" w:lineRule="auto"/>
        <w:ind w:firstLine="480" w:firstLineChars="200"/>
        <w:rPr>
          <w:rFonts w:hint="default"/>
          <w:b w:val="0"/>
          <w:bCs w:val="0"/>
          <w:sz w:val="24"/>
          <w:szCs w:val="24"/>
          <w:lang w:val="en-US" w:eastAsia="zh-CN"/>
        </w:rPr>
      </w:pPr>
      <w:bookmarkStart w:id="0" w:name="_GoBack"/>
      <w:bookmarkEnd w:id="0"/>
    </w:p>
    <w:p>
      <w:pPr>
        <w:pStyle w:val="2"/>
        <w:numPr>
          <w:ilvl w:val="0"/>
          <w:numId w:val="0"/>
        </w:numPr>
        <w:spacing w:line="360" w:lineRule="auto"/>
        <w:rPr>
          <w:rFonts w:hint="default"/>
          <w:b w:val="0"/>
          <w:bCs w:val="0"/>
          <w:sz w:val="24"/>
          <w:szCs w:val="24"/>
          <w:lang w:val="en-US" w:eastAsia="zh-CN"/>
        </w:rPr>
      </w:pPr>
      <w:r>
        <w:rPr>
          <w:rFonts w:hint="default"/>
          <w:b w:val="0"/>
          <w:bCs w:val="0"/>
          <w:sz w:val="24"/>
          <w:szCs w:val="24"/>
          <w:lang w:val="en-US" w:eastAsia="zh-CN"/>
        </w:rPr>
        <w:t>▲</w:t>
      </w:r>
      <w:r>
        <w:rPr>
          <w:rFonts w:hint="eastAsia"/>
          <w:b w:val="0"/>
          <w:bCs w:val="0"/>
          <w:sz w:val="24"/>
          <w:szCs w:val="24"/>
          <w:lang w:val="en-US" w:eastAsia="zh-CN"/>
        </w:rPr>
        <w:t>：</w:t>
      </w:r>
      <w:r>
        <w:rPr>
          <w:rFonts w:hint="default"/>
          <w:b w:val="0"/>
          <w:bCs w:val="0"/>
          <w:sz w:val="24"/>
          <w:szCs w:val="24"/>
          <w:u w:val="single"/>
          <w:lang w:val="en-US" w:eastAsia="zh-CN"/>
        </w:rPr>
        <w:t>只要有一项审查不合格，则该投标人的资格审查不合格，审查不合格的投标文件将不予评审。</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E352B"/>
    <w:multiLevelType w:val="singleLevel"/>
    <w:tmpl w:val="063E35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043E9E"/>
    <w:rsid w:val="06E15E3C"/>
    <w:rsid w:val="0C300A04"/>
    <w:rsid w:val="10C71F5A"/>
    <w:rsid w:val="1C07401F"/>
    <w:rsid w:val="1D3C515C"/>
    <w:rsid w:val="1E435DD9"/>
    <w:rsid w:val="226E2973"/>
    <w:rsid w:val="291122AA"/>
    <w:rsid w:val="2EBF307B"/>
    <w:rsid w:val="37B235FD"/>
    <w:rsid w:val="462A298B"/>
    <w:rsid w:val="47FD3F63"/>
    <w:rsid w:val="48C84ABD"/>
    <w:rsid w:val="4F1B27C8"/>
    <w:rsid w:val="4FD147A1"/>
    <w:rsid w:val="536C61AC"/>
    <w:rsid w:val="586D09FC"/>
    <w:rsid w:val="5A0F768E"/>
    <w:rsid w:val="5A3C73F0"/>
    <w:rsid w:val="62BD2580"/>
    <w:rsid w:val="6EAD47D5"/>
    <w:rsid w:val="747B3DF6"/>
    <w:rsid w:val="7BE3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3232</Words>
  <Characters>3591</Characters>
  <Lines>1</Lines>
  <Paragraphs>1</Paragraphs>
  <TotalTime>11</TotalTime>
  <ScaleCrop>false</ScaleCrop>
  <LinksUpToDate>false</LinksUpToDate>
  <CharactersWithSpaces>3603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2022-07-07T02:36:10Z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7C5A16EDF2E647309599E4BF75944C46</vt:lpwstr>
  </property>
</Properties>
</file>