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rPr>
          <w:rFonts w:hint="eastAsia" w:ascii="宋体" w:hAnsi="宋体" w:eastAsia="宋体"/>
          <w:color w:val="auto"/>
          <w:sz w:val="36"/>
          <w:szCs w:val="36"/>
          <w:highlight w:val="none"/>
          <w:lang w:eastAsia="zh-CN"/>
        </w:rPr>
      </w:pPr>
      <w:bookmarkStart w:id="0" w:name="_Toc55374095"/>
      <w:r>
        <w:rPr>
          <w:rFonts w:hint="eastAsia" w:ascii="宋体" w:hAnsi="宋体" w:eastAsia="宋体"/>
          <w:color w:val="auto"/>
          <w:sz w:val="36"/>
          <w:szCs w:val="36"/>
          <w:highlight w:val="none"/>
        </w:rPr>
        <w:t>温州市中医院</w:t>
      </w:r>
      <w:r>
        <w:rPr>
          <w:rFonts w:hint="eastAsia" w:ascii="宋体" w:hAnsi="宋体" w:eastAsia="宋体"/>
          <w:color w:val="auto"/>
          <w:sz w:val="36"/>
          <w:szCs w:val="36"/>
          <w:highlight w:val="none"/>
          <w:lang w:val="en-US" w:eastAsia="zh-CN"/>
        </w:rPr>
        <w:t>数据库维保</w:t>
      </w:r>
      <w:r>
        <w:rPr>
          <w:rFonts w:hint="eastAsia" w:ascii="宋体" w:hAnsi="宋体" w:eastAsia="宋体"/>
          <w:color w:val="auto"/>
          <w:sz w:val="36"/>
          <w:szCs w:val="36"/>
          <w:highlight w:val="none"/>
        </w:rPr>
        <w:t>项目采购</w:t>
      </w:r>
      <w:bookmarkEnd w:id="0"/>
      <w:r>
        <w:rPr>
          <w:rFonts w:hint="eastAsia" w:ascii="宋体" w:hAnsi="宋体" w:eastAsia="宋体"/>
          <w:color w:val="auto"/>
          <w:sz w:val="36"/>
          <w:szCs w:val="36"/>
          <w:highlight w:val="none"/>
          <w:lang w:val="en-US" w:eastAsia="zh-CN"/>
        </w:rPr>
        <w:t>文件</w:t>
      </w:r>
    </w:p>
    <w:p>
      <w:pPr>
        <w:shd w:val="clear" w:fill="FFFFFF" w:themeFill="background1"/>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一、项目概况</w:t>
      </w:r>
    </w:p>
    <w:p>
      <w:pPr>
        <w:pStyle w:val="5"/>
        <w:shd w:val="clear" w:fill="FFFFFF" w:themeFill="background1"/>
        <w:overflowPunct w:val="0"/>
        <w:spacing w:line="360" w:lineRule="auto"/>
        <w:ind w:left="0" w:leftChars="0" w:firstLine="482" w:firstLineChars="200"/>
        <w:rPr>
          <w:rFonts w:hint="eastAsia" w:ascii="宋体" w:hAnsi="宋体"/>
          <w:b w:val="0"/>
          <w:bCs w:val="0"/>
          <w:color w:val="auto"/>
          <w:sz w:val="24"/>
          <w:highlight w:val="none"/>
          <w:lang w:val="en-US" w:eastAsia="zh-CN"/>
        </w:rPr>
      </w:pPr>
      <w:r>
        <w:rPr>
          <w:rFonts w:hint="eastAsia" w:ascii="宋体" w:hAnsi="宋体"/>
          <w:b/>
          <w:bCs/>
          <w:color w:val="auto"/>
          <w:sz w:val="24"/>
          <w:highlight w:val="none"/>
          <w:lang w:val="en-US" w:eastAsia="zh-CN"/>
        </w:rPr>
        <w:t>项目名称</w:t>
      </w:r>
      <w:r>
        <w:rPr>
          <w:rFonts w:hint="eastAsia" w:ascii="宋体" w:hAnsi="宋体"/>
          <w:b/>
          <w:bCs/>
          <w:color w:val="auto"/>
          <w:sz w:val="24"/>
          <w:highlight w:val="none"/>
        </w:rPr>
        <w:t>：</w:t>
      </w:r>
      <w:r>
        <w:rPr>
          <w:rFonts w:hint="eastAsia" w:ascii="宋体" w:hAnsi="宋体"/>
          <w:b w:val="0"/>
          <w:bCs w:val="0"/>
          <w:color w:val="auto"/>
          <w:sz w:val="24"/>
          <w:highlight w:val="none"/>
          <w:lang w:val="en-US" w:eastAsia="zh-Hans"/>
        </w:rPr>
        <w:t>温州市中医院数据库维保</w:t>
      </w:r>
    </w:p>
    <w:p>
      <w:pPr>
        <w:spacing w:line="360" w:lineRule="auto"/>
        <w:ind w:firstLine="482" w:firstLineChars="200"/>
        <w:rPr>
          <w:rFonts w:hint="default"/>
          <w:lang w:val="en-US"/>
        </w:rPr>
      </w:pPr>
      <w:r>
        <w:rPr>
          <w:rFonts w:hint="eastAsia" w:ascii="宋体" w:hAnsi="宋体"/>
          <w:b/>
          <w:bCs/>
          <w:color w:val="auto"/>
          <w:sz w:val="24"/>
          <w:highlight w:val="none"/>
          <w:lang w:val="en-US" w:eastAsia="zh-CN"/>
        </w:rPr>
        <w:t>采购方式：</w:t>
      </w:r>
      <w:r>
        <w:rPr>
          <w:rFonts w:hint="eastAsia" w:ascii="宋体" w:hAnsi="宋体"/>
          <w:b w:val="0"/>
          <w:bCs w:val="0"/>
          <w:color w:val="auto"/>
          <w:sz w:val="24"/>
          <w:highlight w:val="none"/>
          <w:lang w:val="en-US" w:eastAsia="zh-CN"/>
        </w:rPr>
        <w:t>公开遴选（非政府采购）</w:t>
      </w:r>
    </w:p>
    <w:p>
      <w:pPr>
        <w:pStyle w:val="5"/>
        <w:shd w:val="clear" w:fill="FFFFFF" w:themeFill="background1"/>
        <w:overflowPunct w:val="0"/>
        <w:spacing w:line="360" w:lineRule="auto"/>
        <w:ind w:left="0" w:leftChars="0" w:firstLine="482" w:firstLineChars="200"/>
        <w:rPr>
          <w:rFonts w:hint="eastAsia" w:ascii="宋体" w:hAnsi="宋体"/>
          <w:color w:val="auto"/>
          <w:sz w:val="24"/>
          <w:szCs w:val="24"/>
          <w:highlight w:val="none"/>
        </w:rPr>
      </w:pPr>
      <w:r>
        <w:rPr>
          <w:rFonts w:hint="eastAsia" w:ascii="宋体" w:hAnsi="宋体"/>
          <w:b/>
          <w:bCs/>
          <w:color w:val="auto"/>
          <w:sz w:val="24"/>
          <w:highlight w:val="none"/>
        </w:rPr>
        <w:t>预算</w:t>
      </w:r>
      <w:r>
        <w:rPr>
          <w:rFonts w:hint="eastAsia" w:ascii="宋体" w:hAnsi="宋体"/>
          <w:b/>
          <w:bCs/>
          <w:color w:val="auto"/>
          <w:sz w:val="24"/>
          <w:highlight w:val="none"/>
          <w:lang w:val="en-US" w:eastAsia="zh-CN"/>
        </w:rPr>
        <w:t>金额</w:t>
      </w:r>
      <w:r>
        <w:rPr>
          <w:rFonts w:hint="eastAsia" w:ascii="宋体" w:hAnsi="宋体"/>
          <w:b/>
          <w:bCs/>
          <w:color w:val="auto"/>
          <w:sz w:val="24"/>
          <w:highlight w:val="none"/>
        </w:rPr>
        <w:t>：</w:t>
      </w:r>
      <w:r>
        <w:rPr>
          <w:rFonts w:hint="eastAsia" w:ascii="宋体" w:hAnsi="宋体"/>
          <w:b w:val="0"/>
          <w:bCs w:val="0"/>
          <w:color w:val="auto"/>
          <w:sz w:val="24"/>
          <w:highlight w:val="none"/>
          <w:lang w:val="en-US" w:eastAsia="zh-CN"/>
        </w:rPr>
        <w:t>7</w:t>
      </w:r>
      <w:r>
        <w:rPr>
          <w:rFonts w:hint="eastAsia" w:ascii="宋体" w:hAnsi="宋体"/>
          <w:b w:val="0"/>
          <w:bCs w:val="0"/>
          <w:color w:val="auto"/>
          <w:sz w:val="24"/>
          <w:szCs w:val="24"/>
          <w:highlight w:val="none"/>
          <w:lang w:val="en-US" w:eastAsia="zh-CN"/>
        </w:rPr>
        <w:t>万</w:t>
      </w:r>
      <w:r>
        <w:rPr>
          <w:rFonts w:hint="eastAsia" w:ascii="宋体" w:hAnsi="宋体"/>
          <w:b w:val="0"/>
          <w:bCs w:val="0"/>
          <w:color w:val="auto"/>
          <w:sz w:val="24"/>
          <w:szCs w:val="24"/>
          <w:highlight w:val="none"/>
        </w:rPr>
        <w:t>元</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rPr>
        <w:t>年</w:t>
      </w:r>
    </w:p>
    <w:p>
      <w:pPr>
        <w:shd w:val="clear" w:fill="FFFFFF" w:themeFill="background1"/>
        <w:snapToGrid w:val="0"/>
        <w:spacing w:line="360" w:lineRule="auto"/>
        <w:ind w:firstLine="482" w:firstLineChars="200"/>
        <w:rPr>
          <w:rFonts w:hint="eastAsia" w:ascii="宋体"/>
          <w:b/>
          <w:bCs/>
          <w:color w:val="auto"/>
          <w:sz w:val="24"/>
          <w:highlight w:val="none"/>
          <w:lang w:val="en-US" w:eastAsia="zh-CN"/>
        </w:rPr>
      </w:pPr>
      <w:r>
        <w:rPr>
          <w:rFonts w:hint="eastAsia" w:ascii="宋体"/>
          <w:b/>
          <w:bCs/>
          <w:color w:val="auto"/>
          <w:sz w:val="24"/>
          <w:highlight w:val="none"/>
          <w:lang w:val="en-US" w:eastAsia="zh-CN"/>
        </w:rPr>
        <w:t>项目总体描述：</w:t>
      </w:r>
    </w:p>
    <w:p>
      <w:pPr>
        <w:shd w:val="clear" w:fill="FFFFFF" w:themeFill="background1"/>
        <w:snapToGrid w:val="0"/>
        <w:spacing w:line="360" w:lineRule="auto"/>
        <w:ind w:firstLine="480" w:firstLineChars="200"/>
        <w:rPr>
          <w:rFonts w:hint="eastAsia" w:ascii="宋体"/>
          <w:b w:val="0"/>
          <w:bCs w:val="0"/>
          <w:color w:val="auto"/>
          <w:sz w:val="24"/>
          <w:highlight w:val="none"/>
          <w:lang w:val="en-US" w:eastAsia="zh-CN"/>
        </w:rPr>
      </w:pPr>
      <w:r>
        <w:rPr>
          <w:rFonts w:hint="eastAsia" w:ascii="宋体"/>
          <w:b w:val="0"/>
          <w:bCs w:val="0"/>
          <w:color w:val="auto"/>
          <w:sz w:val="24"/>
          <w:highlight w:val="none"/>
          <w:lang w:val="en-US" w:eastAsia="zh-CN"/>
        </w:rPr>
        <w:t>对现有数据库提供年度技术支持维护，保障数据库及系统正常运行，提供故障应急技术支持。在重大故障发生时，提供工程师现场响应服务。主要项目采购内容包括：</w:t>
      </w:r>
    </w:p>
    <w:p>
      <w:pPr>
        <w:shd w:val="clear" w:fill="FFFFFF" w:themeFill="background1"/>
        <w:snapToGrid w:val="0"/>
        <w:spacing w:line="360" w:lineRule="auto"/>
        <w:ind w:firstLine="480" w:firstLineChars="200"/>
        <w:rPr>
          <w:rFonts w:hint="eastAsia" w:ascii="宋体"/>
          <w:b w:val="0"/>
          <w:bCs w:val="0"/>
          <w:color w:val="auto"/>
          <w:sz w:val="24"/>
          <w:highlight w:val="none"/>
          <w:lang w:val="en-US" w:eastAsia="zh-CN"/>
        </w:rPr>
      </w:pPr>
      <w:r>
        <w:rPr>
          <w:rFonts w:hint="eastAsia" w:ascii="宋体"/>
          <w:b w:val="0"/>
          <w:bCs w:val="0"/>
          <w:color w:val="auto"/>
          <w:sz w:val="24"/>
          <w:highlight w:val="none"/>
          <w:lang w:val="en-US" w:eastAsia="zh-CN"/>
        </w:rPr>
        <w:t>（1）提供年度例行巡检，每月至少一次OCM认证工程师现场对维保Oracle数据库系统健康状态检查，并提供系统巡检报告。</w:t>
      </w:r>
    </w:p>
    <w:p>
      <w:pPr>
        <w:shd w:val="clear" w:fill="FFFFFF" w:themeFill="background1"/>
        <w:snapToGrid w:val="0"/>
        <w:spacing w:line="360" w:lineRule="auto"/>
        <w:ind w:firstLine="480" w:firstLineChars="200"/>
        <w:rPr>
          <w:rFonts w:hint="eastAsia" w:ascii="宋体"/>
          <w:b w:val="0"/>
          <w:bCs w:val="0"/>
          <w:color w:val="auto"/>
          <w:sz w:val="24"/>
          <w:highlight w:val="none"/>
          <w:lang w:val="en-US" w:eastAsia="zh-CN"/>
        </w:rPr>
      </w:pPr>
      <w:r>
        <w:rPr>
          <w:rFonts w:hint="eastAsia" w:ascii="宋体"/>
          <w:b w:val="0"/>
          <w:bCs w:val="0"/>
          <w:color w:val="auto"/>
          <w:sz w:val="24"/>
          <w:highlight w:val="none"/>
          <w:lang w:val="en-US" w:eastAsia="zh-CN"/>
        </w:rPr>
        <w:t>（2）保内技术支持服务，对系统运行中出现的软件故障提供排除指导，必要时提供上门软件故障处理。</w:t>
      </w:r>
    </w:p>
    <w:p>
      <w:pPr>
        <w:shd w:val="clear" w:fill="FFFFFF" w:themeFill="background1"/>
        <w:snapToGrid w:val="0"/>
        <w:spacing w:line="360" w:lineRule="auto"/>
        <w:ind w:firstLine="480" w:firstLineChars="200"/>
        <w:rPr>
          <w:rFonts w:hint="eastAsia" w:ascii="宋体"/>
          <w:b w:val="0"/>
          <w:bCs w:val="0"/>
          <w:color w:val="auto"/>
          <w:sz w:val="24"/>
          <w:highlight w:val="none"/>
          <w:lang w:val="en-US" w:eastAsia="zh-CN"/>
        </w:rPr>
      </w:pPr>
      <w:r>
        <w:rPr>
          <w:rFonts w:hint="eastAsia" w:ascii="宋体"/>
          <w:b w:val="0"/>
          <w:bCs w:val="0"/>
          <w:color w:val="auto"/>
          <w:sz w:val="24"/>
          <w:highlight w:val="none"/>
          <w:lang w:val="en-US" w:eastAsia="zh-CN"/>
        </w:rPr>
        <w:t>（3）本次维保服务需要另外提供数据库版本升级服务，数据迁移服务，重大节假日工程师驻厂服务（全年不超过3人/天），并对所有核心应用容灾、备份重新规划和实施，确保核心业务系统的稳定性。</w:t>
      </w:r>
    </w:p>
    <w:p>
      <w:pPr>
        <w:shd w:val="clear" w:fill="FFFFFF" w:themeFill="background1"/>
        <w:snapToGrid w:val="0"/>
        <w:spacing w:line="360" w:lineRule="auto"/>
        <w:ind w:firstLine="420" w:firstLineChars="200"/>
        <w:rPr>
          <w:rFonts w:hint="eastAsia"/>
        </w:rPr>
      </w:pPr>
    </w:p>
    <w:p>
      <w:pPr>
        <w:shd w:val="clear" w:color="auto" w:fill="FFFFFF" w:themeFill="background1"/>
        <w:spacing w:line="360" w:lineRule="auto"/>
        <w:rPr>
          <w:rFonts w:ascii="宋体" w:hAnsi="宋体" w:cs="宋体"/>
          <w:b/>
          <w:bCs/>
          <w:sz w:val="28"/>
          <w:szCs w:val="28"/>
        </w:rPr>
      </w:pPr>
      <w:r>
        <w:rPr>
          <w:rFonts w:hint="eastAsia" w:ascii="宋体" w:hAnsi="宋体" w:cs="宋体"/>
          <w:b/>
          <w:bCs/>
          <w:sz w:val="28"/>
          <w:szCs w:val="28"/>
        </w:rPr>
        <w:t>二、服务期限及付款方式</w:t>
      </w:r>
    </w:p>
    <w:p>
      <w:pPr>
        <w:pStyle w:val="5"/>
        <w:shd w:val="clear" w:color="auto" w:fill="FFFFFF" w:themeFill="background1"/>
        <w:overflowPunct w:val="0"/>
        <w:spacing w:line="360" w:lineRule="auto"/>
        <w:ind w:firstLine="482"/>
        <w:rPr>
          <w:rFonts w:ascii="宋体"/>
          <w:sz w:val="24"/>
        </w:rPr>
      </w:pPr>
      <w:r>
        <w:rPr>
          <w:rFonts w:hint="eastAsia" w:ascii="宋体"/>
          <w:sz w:val="24"/>
        </w:rPr>
        <w:t>1.服务期限：</w:t>
      </w:r>
      <w:r>
        <w:rPr>
          <w:rFonts w:hint="eastAsia" w:ascii="宋体" w:hAnsi="宋体"/>
          <w:sz w:val="24"/>
        </w:rPr>
        <w:t>合同期限为一年。合同期满后，若</w:t>
      </w:r>
      <w:r>
        <w:rPr>
          <w:rFonts w:hint="eastAsia" w:ascii="宋体" w:hAnsi="宋体"/>
          <w:sz w:val="24"/>
          <w:lang w:val="en-US" w:eastAsia="zh-CN"/>
        </w:rPr>
        <w:t>甲乙双方同意</w:t>
      </w:r>
      <w:r>
        <w:rPr>
          <w:rFonts w:hint="eastAsia" w:ascii="宋体" w:hAnsi="宋体"/>
          <w:sz w:val="24"/>
        </w:rPr>
        <w:t>，可续签一年的合同，同时新一年度的合同服务要求与上一年度相同且合同总价不高于上一年度合同总价。</w:t>
      </w:r>
    </w:p>
    <w:p>
      <w:pPr>
        <w:shd w:val="clear" w:color="auto" w:fill="FFFFFF" w:themeFill="background1"/>
        <w:snapToGrid w:val="0"/>
        <w:spacing w:line="360" w:lineRule="auto"/>
        <w:ind w:firstLine="480" w:firstLineChars="200"/>
        <w:rPr>
          <w:rFonts w:ascii="宋体"/>
          <w:sz w:val="24"/>
        </w:rPr>
      </w:pPr>
      <w:r>
        <w:rPr>
          <w:rFonts w:hint="eastAsia" w:ascii="宋体"/>
          <w:sz w:val="24"/>
        </w:rPr>
        <w:t>2.付款方式</w:t>
      </w:r>
    </w:p>
    <w:p>
      <w:pPr>
        <w:shd w:val="clear" w:color="auto" w:fill="FFFFFF" w:themeFill="background1"/>
        <w:snapToGrid w:val="0"/>
        <w:spacing w:line="360" w:lineRule="auto"/>
        <w:ind w:firstLine="480" w:firstLineChars="200"/>
        <w:rPr>
          <w:rFonts w:hint="eastAsia" w:ascii="宋体" w:hAnsi="宋体"/>
          <w:sz w:val="24"/>
          <w:szCs w:val="22"/>
        </w:rPr>
      </w:pPr>
      <w:bookmarkStart w:id="1" w:name="_Toc55374098"/>
      <w:r>
        <w:rPr>
          <w:rFonts w:hint="eastAsia" w:ascii="宋体" w:hAnsi="宋体"/>
          <w:sz w:val="24"/>
          <w:szCs w:val="22"/>
        </w:rPr>
        <w:t xml:space="preserve">在服务期半年期到后一个月内支付合同总金额的50%，服务期满后一个月内支付合同总金额的50%。 </w:t>
      </w:r>
    </w:p>
    <w:p>
      <w:pPr>
        <w:pStyle w:val="2"/>
        <w:rPr>
          <w:rFonts w:hint="eastAsia" w:ascii="宋体" w:hAnsi="宋体"/>
          <w:sz w:val="24"/>
          <w:szCs w:val="22"/>
        </w:rPr>
      </w:pPr>
    </w:p>
    <w:p>
      <w:pPr>
        <w:rPr>
          <w:rFonts w:hint="eastAsia" w:ascii="宋体" w:hAnsi="宋体"/>
          <w:sz w:val="24"/>
          <w:szCs w:val="22"/>
        </w:rPr>
      </w:pPr>
    </w:p>
    <w:p>
      <w:pPr>
        <w:pStyle w:val="2"/>
        <w:rPr>
          <w:rFonts w:hint="eastAsia" w:ascii="宋体" w:hAnsi="宋体"/>
          <w:sz w:val="24"/>
          <w:szCs w:val="22"/>
        </w:rPr>
      </w:pPr>
    </w:p>
    <w:p>
      <w:pPr>
        <w:rPr>
          <w:rFonts w:hint="eastAsia" w:ascii="宋体" w:hAnsi="宋体"/>
          <w:sz w:val="24"/>
          <w:szCs w:val="22"/>
        </w:rPr>
      </w:pPr>
    </w:p>
    <w:p>
      <w:pPr>
        <w:pStyle w:val="2"/>
        <w:rPr>
          <w:rFonts w:hint="eastAsia" w:ascii="宋体" w:hAnsi="宋体"/>
          <w:sz w:val="24"/>
          <w:szCs w:val="22"/>
        </w:rPr>
      </w:pPr>
    </w:p>
    <w:p>
      <w:pPr>
        <w:rPr>
          <w:rFonts w:hint="eastAsia" w:ascii="宋体" w:hAnsi="宋体"/>
          <w:sz w:val="24"/>
          <w:szCs w:val="22"/>
        </w:rPr>
      </w:pPr>
    </w:p>
    <w:p/>
    <w:p>
      <w:pPr>
        <w:shd w:val="clear" w:color="auto" w:fill="FFFFFF" w:themeFill="background1"/>
        <w:spacing w:line="360" w:lineRule="auto"/>
        <w:rPr>
          <w:rFonts w:hint="eastAsia" w:ascii="宋体" w:hAnsi="宋体" w:cs="宋体"/>
          <w:b/>
          <w:bCs/>
          <w:sz w:val="28"/>
          <w:szCs w:val="28"/>
        </w:rPr>
      </w:pPr>
      <w:r>
        <w:rPr>
          <w:rFonts w:hint="eastAsia" w:ascii="宋体" w:hAnsi="宋体" w:cs="宋体"/>
          <w:b/>
          <w:bCs/>
          <w:sz w:val="28"/>
          <w:szCs w:val="28"/>
        </w:rPr>
        <w:t>三</w:t>
      </w:r>
      <w:r>
        <w:rPr>
          <w:rFonts w:hint="eastAsia" w:ascii="宋体" w:hAnsi="宋体" w:cs="宋体"/>
          <w:b/>
          <w:bCs/>
          <w:sz w:val="28"/>
          <w:szCs w:val="28"/>
          <w:lang w:eastAsia="zh-CN"/>
        </w:rPr>
        <w:t>、</w:t>
      </w:r>
      <w:r>
        <w:rPr>
          <w:rFonts w:hint="eastAsia" w:ascii="宋体" w:hAnsi="宋体" w:cs="宋体"/>
          <w:b/>
          <w:bCs/>
          <w:sz w:val="28"/>
          <w:szCs w:val="28"/>
        </w:rPr>
        <w:t>服务</w:t>
      </w:r>
      <w:r>
        <w:rPr>
          <w:rFonts w:hint="eastAsia" w:ascii="宋体" w:hAnsi="宋体" w:cs="宋体"/>
          <w:b/>
          <w:bCs/>
          <w:sz w:val="28"/>
          <w:szCs w:val="28"/>
          <w:lang w:val="en-US" w:eastAsia="zh-CN"/>
        </w:rPr>
        <w:t>具体</w:t>
      </w:r>
      <w:r>
        <w:rPr>
          <w:rFonts w:hint="eastAsia" w:ascii="宋体" w:hAnsi="宋体" w:cs="宋体"/>
          <w:b/>
          <w:bCs/>
          <w:sz w:val="28"/>
          <w:szCs w:val="28"/>
        </w:rPr>
        <w:t>内容</w:t>
      </w:r>
      <w:bookmarkEnd w:id="1"/>
    </w:p>
    <w:p>
      <w:pPr>
        <w:shd w:val="clear" w:color="auto" w:fill="FFFFFF" w:themeFill="background1"/>
        <w:spacing w:line="360" w:lineRule="auto"/>
        <w:rPr>
          <w:rFonts w:ascii="宋体" w:hAnsi="宋体" w:eastAsia="宋体" w:cs="Arial"/>
          <w:b/>
          <w:sz w:val="24"/>
          <w:szCs w:val="24"/>
        </w:rPr>
      </w:pPr>
      <w:r>
        <w:rPr>
          <w:rFonts w:hint="eastAsia" w:ascii="宋体" w:hAnsi="宋体" w:eastAsia="宋体" w:cs="Arial"/>
          <w:b/>
          <w:sz w:val="24"/>
          <w:szCs w:val="24"/>
          <w:lang w:val="en-US" w:eastAsia="zh-CN"/>
        </w:rPr>
        <w:t>1、</w:t>
      </w:r>
      <w:r>
        <w:rPr>
          <w:rFonts w:ascii="宋体" w:hAnsi="宋体" w:eastAsia="宋体" w:cs="Arial"/>
          <w:b/>
          <w:sz w:val="24"/>
          <w:szCs w:val="24"/>
        </w:rPr>
        <w:t>数据库运维服务要求</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维保设备范围：温州</w:t>
      </w:r>
      <w:r>
        <w:rPr>
          <w:rFonts w:hint="eastAsia" w:ascii="Times New Roman" w:hAnsi="Times New Roman" w:eastAsia="新宋体" w:cs="Times New Roman"/>
          <w:szCs w:val="21"/>
          <w:lang w:val="en-US" w:eastAsia="zh-CN"/>
        </w:rPr>
        <w:t>市</w:t>
      </w:r>
      <w:r>
        <w:rPr>
          <w:rFonts w:hint="eastAsia" w:ascii="Times New Roman" w:hAnsi="Times New Roman" w:eastAsia="新宋体" w:cs="Times New Roman"/>
          <w:szCs w:val="21"/>
        </w:rPr>
        <w:t>中医院所有数据库系统</w:t>
      </w: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lang w:val="en-US" w:eastAsia="zh-CN"/>
        </w:rPr>
        <w:t>以</w:t>
      </w:r>
      <w:r>
        <w:rPr>
          <w:rFonts w:hint="eastAsia" w:ascii="宋体" w:hAnsi="宋体" w:eastAsia="宋体" w:cs="Times New Roman"/>
        </w:rPr>
        <w:t>Oracle数据库</w:t>
      </w:r>
      <w:r>
        <w:rPr>
          <w:rFonts w:hint="eastAsia" w:ascii="宋体" w:hAnsi="宋体" w:eastAsia="宋体" w:cs="Times New Roman"/>
          <w:lang w:val="en-US" w:eastAsia="zh-CN"/>
        </w:rPr>
        <w:t>为主</w:t>
      </w: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rPr>
        <w:t>。</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维保时间要求：一年</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响应时间要求：7*24小时响应。</w:t>
      </w:r>
    </w:p>
    <w:tbl>
      <w:tblPr>
        <w:tblStyle w:val="8"/>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序号</w:t>
            </w:r>
          </w:p>
        </w:tc>
        <w:tc>
          <w:tcPr>
            <w:tcW w:w="4395" w:type="dxa"/>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技术服务内容</w:t>
            </w:r>
          </w:p>
        </w:tc>
        <w:tc>
          <w:tcPr>
            <w:tcW w:w="1417" w:type="dxa"/>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（一）</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数据库技术支援要求</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left="-44"/>
              <w:rPr>
                <w:rFonts w:ascii="Times New Roman" w:hAnsi="Times New Roman" w:eastAsia="新宋体" w:cs="Times New Roman"/>
                <w:szCs w:val="21"/>
              </w:rPr>
            </w:pPr>
            <w:r>
              <w:rPr>
                <w:rFonts w:hint="eastAsia" w:ascii="Times New Roman" w:hAnsi="Times New Roman" w:eastAsia="新宋体" w:cs="Times New Roman"/>
                <w:szCs w:val="21"/>
              </w:rPr>
              <w:t xml:space="preserve">  1.1</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7*24小时应急远程响应支持服务</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left="-44"/>
              <w:rPr>
                <w:rFonts w:ascii="Times New Roman" w:hAnsi="Times New Roman" w:eastAsia="新宋体" w:cs="Times New Roman"/>
                <w:szCs w:val="21"/>
              </w:rPr>
            </w:pPr>
            <w:r>
              <w:rPr>
                <w:rFonts w:hint="eastAsia" w:ascii="Times New Roman" w:hAnsi="Times New Roman" w:eastAsia="新宋体" w:cs="Times New Roman"/>
                <w:szCs w:val="21"/>
              </w:rPr>
              <w:t xml:space="preserve">  1.2</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7*24小时应急现场响应支持服务</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left="-44"/>
              <w:rPr>
                <w:rFonts w:ascii="Times New Roman" w:hAnsi="Times New Roman" w:eastAsia="新宋体" w:cs="Times New Roman"/>
                <w:szCs w:val="21"/>
              </w:rPr>
            </w:pPr>
            <w:r>
              <w:rPr>
                <w:rFonts w:hint="eastAsia" w:ascii="Times New Roman" w:hAnsi="Times New Roman" w:eastAsia="新宋体" w:cs="Times New Roman"/>
                <w:szCs w:val="21"/>
              </w:rPr>
              <w:t xml:space="preserve">  1.3</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灾难性故障应急支持</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left="-44"/>
              <w:rPr>
                <w:rFonts w:ascii="Times New Roman" w:hAnsi="Times New Roman" w:eastAsia="新宋体" w:cs="Times New Roman"/>
                <w:szCs w:val="21"/>
              </w:rPr>
            </w:pPr>
            <w:r>
              <w:rPr>
                <w:rFonts w:hint="eastAsia" w:ascii="Times New Roman" w:hAnsi="Times New Roman" w:eastAsia="新宋体" w:cs="Times New Roman"/>
                <w:szCs w:val="21"/>
              </w:rPr>
              <w:t xml:space="preserve">  1.4</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数据库日常巡检服务</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firstLine="210" w:firstLineChars="100"/>
              <w:rPr>
                <w:rFonts w:ascii="Times New Roman" w:hAnsi="Times New Roman" w:eastAsia="新宋体" w:cs="Times New Roman"/>
                <w:szCs w:val="21"/>
              </w:rPr>
            </w:pPr>
            <w:r>
              <w:rPr>
                <w:rFonts w:hint="eastAsia" w:ascii="Times New Roman" w:hAnsi="Times New Roman" w:eastAsia="新宋体" w:cs="Times New Roman"/>
                <w:szCs w:val="21"/>
              </w:rPr>
              <w:t>1.5</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协助完善系统日常运维</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ind w:firstLine="210" w:firstLineChars="100"/>
              <w:rPr>
                <w:rFonts w:ascii="Times New Roman" w:hAnsi="Times New Roman" w:eastAsia="新宋体" w:cs="Times New Roman"/>
                <w:szCs w:val="21"/>
              </w:rPr>
            </w:pPr>
            <w:r>
              <w:rPr>
                <w:rFonts w:hint="eastAsia" w:ascii="Times New Roman" w:hAnsi="Times New Roman" w:eastAsia="新宋体" w:cs="Times New Roman"/>
                <w:szCs w:val="21"/>
              </w:rPr>
              <w:t>1.</w:t>
            </w:r>
            <w:r>
              <w:rPr>
                <w:rFonts w:ascii="Times New Roman" w:hAnsi="Times New Roman" w:eastAsia="新宋体" w:cs="Times New Roman"/>
                <w:szCs w:val="21"/>
              </w:rPr>
              <w:t>6</w:t>
            </w:r>
          </w:p>
        </w:tc>
        <w:tc>
          <w:tcPr>
            <w:tcW w:w="43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灾备系统测试演练</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（二）</w:t>
            </w:r>
          </w:p>
        </w:tc>
        <w:tc>
          <w:tcPr>
            <w:tcW w:w="4395" w:type="dxa"/>
          </w:tcPr>
          <w:p>
            <w:pPr>
              <w:tabs>
                <w:tab w:val="left" w:pos="420"/>
              </w:tabs>
              <w:spacing w:line="360" w:lineRule="auto"/>
              <w:rPr>
                <w:rFonts w:ascii="Times New Roman" w:hAnsi="Times New Roman" w:eastAsia="新宋体" w:cs="Times New Roman"/>
                <w:szCs w:val="21"/>
              </w:rPr>
            </w:pPr>
            <w:r>
              <w:rPr>
                <w:rFonts w:hint="eastAsia" w:ascii="Times New Roman" w:hAnsi="Times New Roman" w:eastAsia="新宋体" w:cs="Calibri"/>
                <w:bCs/>
                <w:szCs w:val="21"/>
              </w:rPr>
              <w:t>数据库性能</w:t>
            </w:r>
            <w:r>
              <w:rPr>
                <w:rFonts w:hint="eastAsia" w:ascii="Times New Roman" w:hAnsi="Times New Roman" w:eastAsia="新宋体" w:cs="Times New Roman"/>
                <w:szCs w:val="21"/>
              </w:rPr>
              <w:t>优化</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（三）</w:t>
            </w:r>
          </w:p>
        </w:tc>
        <w:tc>
          <w:tcPr>
            <w:tcW w:w="4395" w:type="dxa"/>
          </w:tcPr>
          <w:p>
            <w:pPr>
              <w:tabs>
                <w:tab w:val="left" w:pos="420"/>
              </w:tabs>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技术培训</w:t>
            </w:r>
          </w:p>
        </w:tc>
        <w:tc>
          <w:tcPr>
            <w:tcW w:w="1417" w:type="dxa"/>
            <w:vAlign w:val="center"/>
          </w:tcPr>
          <w:p>
            <w:pPr>
              <w:spacing w:line="360" w:lineRule="auto"/>
              <w:jc w:val="center"/>
              <w:rPr>
                <w:rFonts w:ascii="Times New Roman" w:hAnsi="Times New Roman" w:eastAsia="新宋体" w:cs="Times New Roman"/>
                <w:szCs w:val="21"/>
              </w:rPr>
            </w:pPr>
            <w:r>
              <w:rPr>
                <w:rFonts w:hint="eastAsia" w:ascii="Times New Roman" w:hAnsi="Times New Roman" w:eastAsia="新宋体" w:cs="Times New Roman"/>
                <w:szCs w:val="21"/>
              </w:rPr>
              <w:t>一年</w:t>
            </w:r>
          </w:p>
        </w:tc>
      </w:tr>
    </w:tbl>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投标方应根据以上要求提供系统维保的详细方案、服务内容以及响应时间。</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人员上应选派招标方熟悉的或认可的人员，若工程师需要更换，需提前一个月通知招标方，并做好交接工作。</w:t>
      </w:r>
    </w:p>
    <w:p>
      <w:pPr>
        <w:spacing w:line="360" w:lineRule="auto"/>
        <w:ind w:firstLine="422" w:firstLineChars="200"/>
        <w:rPr>
          <w:rFonts w:ascii="Times New Roman" w:hAnsi="Times New Roman" w:eastAsia="新宋体" w:cs="Times New Roman"/>
          <w:b/>
          <w:bCs/>
          <w:szCs w:val="21"/>
        </w:rPr>
      </w:pPr>
      <w:bookmarkStart w:id="2" w:name="_Toc250726430"/>
      <w:bookmarkStart w:id="3" w:name="_Toc250728195"/>
      <w:r>
        <w:rPr>
          <w:rFonts w:hint="eastAsia" w:ascii="Times New Roman" w:hAnsi="Times New Roman" w:eastAsia="新宋体" w:cs="Times New Roman"/>
          <w:b/>
          <w:bCs/>
          <w:szCs w:val="21"/>
        </w:rPr>
        <w:t>（</w:t>
      </w:r>
      <w:r>
        <w:rPr>
          <w:rFonts w:hint="eastAsia" w:ascii="Times New Roman" w:hAnsi="Times New Roman" w:eastAsia="新宋体" w:cs="Times New Roman"/>
          <w:b/>
          <w:bCs/>
          <w:szCs w:val="21"/>
          <w:lang w:val="en-US" w:eastAsia="zh-CN"/>
        </w:rPr>
        <w:t>1</w:t>
      </w:r>
      <w:r>
        <w:rPr>
          <w:rFonts w:hint="eastAsia" w:ascii="Times New Roman" w:hAnsi="Times New Roman" w:eastAsia="新宋体" w:cs="Times New Roman"/>
          <w:b/>
          <w:bCs/>
          <w:szCs w:val="21"/>
        </w:rPr>
        <w:t>）数据库技术服务要求</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w:t>
      </w:r>
      <w:bookmarkEnd w:id="2"/>
      <w:bookmarkEnd w:id="3"/>
      <w:r>
        <w:rPr>
          <w:rFonts w:hint="eastAsia" w:ascii="Times New Roman" w:hAnsi="Times New Roman" w:eastAsia="新宋体" w:cs="Times New Roman"/>
          <w:szCs w:val="21"/>
        </w:rPr>
        <w:t>1  7*24小时远程响应支持服务</w:t>
      </w:r>
    </w:p>
    <w:p>
      <w:pPr>
        <w:widowControl/>
        <w:spacing w:line="360" w:lineRule="auto"/>
        <w:ind w:firstLine="420" w:firstLineChars="200"/>
        <w:jc w:val="left"/>
        <w:rPr>
          <w:rFonts w:ascii="Times New Roman" w:hAnsi="Times New Roman" w:eastAsia="新宋体" w:cs="Times New Roman"/>
          <w:kern w:val="0"/>
          <w:sz w:val="21"/>
          <w:szCs w:val="21"/>
          <w:lang w:val="en-US" w:eastAsia="zh-CN" w:bidi="ar-SA"/>
        </w:rPr>
      </w:pPr>
      <w:bookmarkStart w:id="4" w:name="_Toc250726431"/>
      <w:bookmarkStart w:id="5" w:name="_Toc250728196"/>
      <w:r>
        <w:rPr>
          <w:rFonts w:hint="eastAsia" w:ascii="Times New Roman" w:hAnsi="Times New Roman" w:eastAsia="新宋体" w:cs="Times New Roman"/>
          <w:kern w:val="0"/>
          <w:sz w:val="21"/>
          <w:szCs w:val="21"/>
          <w:lang w:val="en-US" w:eastAsia="zh-CN" w:bidi="ar-SA"/>
        </w:rPr>
        <w:t>对数据库系统故障或与数据库系统相关联的系统故障，投标方提供7*24小时不间断非现场(可以是400电话、e-mail、VPN、QQ等形式)支持服务，通过以上方式直接联络服务商的技术工程师，寻求问题的解决方案、技术文档以及技术指导，提供故障处理案例。</w:t>
      </w:r>
    </w:p>
    <w:p>
      <w:pPr>
        <w:widowControl/>
        <w:spacing w:line="360" w:lineRule="auto"/>
        <w:ind w:firstLine="420"/>
        <w:jc w:val="both"/>
        <w:rPr>
          <w:rFonts w:ascii="Times New Roman" w:hAnsi="Times New Roman" w:eastAsia="新宋体" w:cs="Times New Roman"/>
          <w:kern w:val="0"/>
          <w:sz w:val="21"/>
          <w:szCs w:val="21"/>
          <w:lang w:val="en-US" w:eastAsia="zh-CN" w:bidi="ar-SA"/>
        </w:rPr>
      </w:pPr>
      <w:r>
        <w:rPr>
          <w:rFonts w:hint="eastAsia" w:ascii="Times New Roman" w:hAnsi="Times New Roman" w:eastAsia="新宋体" w:cs="Times New Roman"/>
          <w:kern w:val="0"/>
          <w:sz w:val="21"/>
          <w:szCs w:val="21"/>
          <w:lang w:val="en-US" w:eastAsia="zh-CN" w:bidi="ar-SA"/>
        </w:rPr>
        <w:t>投标方在接到招标方故障申告后应于5分钟内响应，如故障未能在15分钟内通过远程支持得到解决，投标方承诺根据招标方要求派指定服务工程师在2小时内赶到招标方现场，提供不间断故障处理服务。</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w:t>
      </w:r>
      <w:bookmarkEnd w:id="4"/>
      <w:bookmarkEnd w:id="5"/>
      <w:r>
        <w:rPr>
          <w:rFonts w:hint="eastAsia" w:ascii="Times New Roman" w:hAnsi="Times New Roman" w:eastAsia="新宋体" w:cs="Times New Roman"/>
          <w:szCs w:val="21"/>
        </w:rPr>
        <w:t>2  7*24小时应急现场响应支持服务</w:t>
      </w:r>
    </w:p>
    <w:p>
      <w:pPr>
        <w:spacing w:line="360" w:lineRule="auto"/>
        <w:ind w:firstLine="480" w:firstLineChars="200"/>
        <w:rPr>
          <w:rFonts w:ascii="Times New Roman" w:hAnsi="Times New Roman" w:eastAsia="新宋体" w:cs="Times New Roman"/>
          <w:szCs w:val="21"/>
        </w:rPr>
      </w:pPr>
      <w:r>
        <w:rPr>
          <w:rFonts w:hint="eastAsia" w:ascii="宋体" w:hAnsi="宋体" w:eastAsia="宋体" w:cs="Times New Roman"/>
          <w:sz w:val="24"/>
        </w:rPr>
        <w:t>★</w:t>
      </w:r>
      <w:r>
        <w:rPr>
          <w:rFonts w:hint="eastAsia" w:ascii="Times New Roman" w:hAnsi="Times New Roman" w:eastAsia="新宋体" w:cs="Times New Roman"/>
          <w:szCs w:val="21"/>
        </w:rPr>
        <w:t>当遇到复杂性问题，需要到现场进行综合诊断或者温州中医院要求现场支持服务的时候，要求服务团队人员乃至专家后援服务团队人员在1小时内到达支持现场，同时要求在路途中不中断电话支持以求快速解决问题。要求</w:t>
      </w:r>
      <w:r>
        <w:rPr>
          <w:rFonts w:ascii="Times New Roman" w:hAnsi="Times New Roman" w:eastAsia="新宋体" w:cs="Times New Roman"/>
          <w:szCs w:val="21"/>
        </w:rPr>
        <w:t>中标公司承诺在</w:t>
      </w:r>
      <w:r>
        <w:rPr>
          <w:rFonts w:hint="eastAsia" w:ascii="Times New Roman" w:hAnsi="Times New Roman" w:eastAsia="新宋体" w:cs="Times New Roman"/>
          <w:szCs w:val="21"/>
        </w:rPr>
        <w:t>常驻</w:t>
      </w:r>
      <w:r>
        <w:rPr>
          <w:rFonts w:ascii="Times New Roman" w:hAnsi="Times New Roman" w:eastAsia="新宋体" w:cs="Times New Roman"/>
          <w:szCs w:val="21"/>
        </w:rPr>
        <w:t>温州</w:t>
      </w:r>
      <w:r>
        <w:rPr>
          <w:rFonts w:hint="eastAsia" w:ascii="Times New Roman" w:hAnsi="Times New Roman" w:eastAsia="新宋体" w:cs="Times New Roman"/>
          <w:szCs w:val="21"/>
        </w:rPr>
        <w:t>地区</w:t>
      </w:r>
      <w:r>
        <w:rPr>
          <w:rFonts w:ascii="Times New Roman" w:hAnsi="Times New Roman" w:eastAsia="新宋体" w:cs="Times New Roman"/>
          <w:szCs w:val="21"/>
        </w:rPr>
        <w:t>数据库认证工程师。</w:t>
      </w:r>
      <w:r>
        <w:rPr>
          <w:rFonts w:hint="eastAsia" w:ascii="Times New Roman" w:hAnsi="Times New Roman" w:eastAsia="新宋体" w:cs="Times New Roman"/>
          <w:szCs w:val="21"/>
        </w:rPr>
        <w:t>服务期内要求现场服务不少于12天。</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1.3</w:t>
      </w:r>
      <w:r>
        <w:rPr>
          <w:rFonts w:hint="eastAsia" w:ascii="Times New Roman" w:hAnsi="Times New Roman" w:eastAsia="新宋体" w:cs="Times New Roman"/>
          <w:szCs w:val="21"/>
          <w:lang w:val="en-US" w:eastAsia="zh-CN"/>
        </w:rPr>
        <w:t xml:space="preserve">  </w:t>
      </w:r>
      <w:r>
        <w:rPr>
          <w:rFonts w:hint="eastAsia" w:ascii="Times New Roman" w:hAnsi="Times New Roman" w:eastAsia="新宋体" w:cs="Times New Roman"/>
          <w:szCs w:val="21"/>
        </w:rPr>
        <w:t>灾难性故障应急支持</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灾难性故障指由于各种原因引起数据库不可用或者部分不可用的状况。要求服务团队精通灾备技术，快速恢复各种灾难性故障。熟悉招标方的备份机制和模式，利用备份机制实现快速故障恢复，针对数据灾难情形提供强有力的挽救技术或工具。</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1.4</w:t>
      </w:r>
      <w:r>
        <w:rPr>
          <w:rFonts w:hint="eastAsia" w:ascii="Times New Roman" w:hAnsi="Times New Roman" w:eastAsia="新宋体" w:cs="Times New Roman"/>
          <w:szCs w:val="21"/>
          <w:lang w:val="en-US" w:eastAsia="zh-CN"/>
        </w:rPr>
        <w:t xml:space="preserve">  </w:t>
      </w:r>
      <w:r>
        <w:rPr>
          <w:rFonts w:hint="eastAsia" w:ascii="Times New Roman" w:hAnsi="Times New Roman" w:eastAsia="新宋体" w:cs="Times New Roman"/>
          <w:szCs w:val="21"/>
        </w:rPr>
        <w:t>数据库日常巡检服务</w:t>
      </w:r>
    </w:p>
    <w:p>
      <w:pPr>
        <w:spacing w:line="360" w:lineRule="auto"/>
        <w:ind w:firstLine="420" w:firstLineChars="200"/>
        <w:rPr>
          <w:rFonts w:ascii="Times New Roman" w:hAnsi="Times New Roman" w:eastAsia="新宋体" w:cs="Arial"/>
          <w:szCs w:val="21"/>
        </w:rPr>
      </w:pPr>
      <w:r>
        <w:rPr>
          <w:rFonts w:hint="eastAsia" w:ascii="Times New Roman" w:hAnsi="Times New Roman" w:eastAsia="新宋体" w:cs="Arial"/>
          <w:szCs w:val="21"/>
        </w:rPr>
        <w:t>日常检查至少包括以下内容：</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检查相关软硬件、数据库配置和SGA、PGA的配置情况；</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检查数据库、备份结果集、各表空间的变化情况等，并对数据变化情况作评估；</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统计当前表空间、文件系统和数据文件的使用情况；</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检查数据库alert.log日志文件和相关trace文件；</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检查操作系统用户、数据库用户、系统本身的安全性；</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收集数据库运行期间的负载情况和Instance各性能指标；</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检查数据库备份是否正常；</w:t>
      </w:r>
    </w:p>
    <w:p>
      <w:pPr>
        <w:numPr>
          <w:ilvl w:val="0"/>
          <w:numId w:val="1"/>
        </w:numPr>
        <w:spacing w:line="360" w:lineRule="auto"/>
        <w:ind w:left="721" w:leftChars="338" w:hanging="11"/>
        <w:rPr>
          <w:rFonts w:ascii="Times New Roman" w:hAnsi="Times New Roman" w:eastAsia="新宋体" w:cs="Arial"/>
          <w:szCs w:val="21"/>
        </w:rPr>
      </w:pPr>
      <w:r>
        <w:rPr>
          <w:rFonts w:hint="eastAsia" w:ascii="Times New Roman" w:hAnsi="Times New Roman" w:eastAsia="新宋体" w:cs="Arial"/>
          <w:szCs w:val="21"/>
        </w:rPr>
        <w:t>提供一年不少于12次的日常巡检服务。</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Calibri"/>
          <w:bCs/>
          <w:szCs w:val="21"/>
        </w:rPr>
        <w:t>1.5</w:t>
      </w:r>
      <w:r>
        <w:rPr>
          <w:rFonts w:hint="eastAsia" w:ascii="Times New Roman" w:hAnsi="Times New Roman" w:eastAsia="新宋体" w:cs="Calibri"/>
          <w:bCs/>
          <w:szCs w:val="21"/>
          <w:lang w:val="en-US" w:eastAsia="zh-CN"/>
        </w:rPr>
        <w:t xml:space="preserve">  </w:t>
      </w:r>
      <w:r>
        <w:rPr>
          <w:rFonts w:hint="eastAsia" w:ascii="Times New Roman" w:hAnsi="Times New Roman" w:eastAsia="新宋体" w:cs="Times New Roman"/>
          <w:szCs w:val="21"/>
        </w:rPr>
        <w:t>协助完善系统日常运维</w:t>
      </w:r>
    </w:p>
    <w:p>
      <w:pPr>
        <w:spacing w:line="360" w:lineRule="auto"/>
        <w:ind w:firstLine="420" w:firstLineChars="200"/>
        <w:rPr>
          <w:rFonts w:hint="eastAsia" w:ascii="Times New Roman" w:hAnsi="Times New Roman" w:eastAsia="新宋体" w:cs="Times New Roman"/>
          <w:szCs w:val="21"/>
        </w:rPr>
      </w:pPr>
      <w:r>
        <w:rPr>
          <w:rFonts w:hint="eastAsia" w:ascii="Times New Roman" w:hAnsi="Times New Roman" w:eastAsia="新宋体" w:cs="Times New Roman"/>
          <w:szCs w:val="21"/>
        </w:rPr>
        <w:t>根据招标方的实际情况，制定合理的运维计划和运维操作手册，完善日常运维文档，并根据日常运维内容提供及时告警。</w:t>
      </w:r>
    </w:p>
    <w:p>
      <w:pPr>
        <w:spacing w:line="360" w:lineRule="auto"/>
        <w:ind w:firstLine="422" w:firstLineChars="200"/>
        <w:rPr>
          <w:rFonts w:ascii="Times New Roman" w:hAnsi="Times New Roman" w:eastAsia="新宋体" w:cs="Times New Roman"/>
          <w:b/>
          <w:bCs w:val="0"/>
          <w:szCs w:val="21"/>
        </w:rPr>
      </w:pPr>
      <w:r>
        <w:rPr>
          <w:rFonts w:hint="eastAsia" w:ascii="Times New Roman" w:hAnsi="Times New Roman" w:eastAsia="新宋体" w:cs="Calibri"/>
          <w:b/>
          <w:bCs w:val="0"/>
          <w:szCs w:val="21"/>
        </w:rPr>
        <w:t>（</w:t>
      </w:r>
      <w:r>
        <w:rPr>
          <w:rFonts w:hint="eastAsia" w:ascii="Times New Roman" w:hAnsi="Times New Roman" w:eastAsia="新宋体" w:cs="Calibri"/>
          <w:b/>
          <w:bCs w:val="0"/>
          <w:szCs w:val="21"/>
          <w:lang w:val="en-US" w:eastAsia="zh-CN"/>
        </w:rPr>
        <w:t>2</w:t>
      </w:r>
      <w:r>
        <w:rPr>
          <w:rFonts w:hint="eastAsia" w:ascii="Times New Roman" w:hAnsi="Times New Roman" w:eastAsia="新宋体" w:cs="Calibri"/>
          <w:b/>
          <w:bCs w:val="0"/>
          <w:szCs w:val="21"/>
        </w:rPr>
        <w:t>）数据库性能</w:t>
      </w:r>
      <w:r>
        <w:rPr>
          <w:rFonts w:hint="eastAsia" w:ascii="Times New Roman" w:hAnsi="Times New Roman" w:eastAsia="新宋体" w:cs="Times New Roman"/>
          <w:b/>
          <w:bCs w:val="0"/>
          <w:szCs w:val="21"/>
        </w:rPr>
        <w:t>优化</w:t>
      </w:r>
    </w:p>
    <w:p>
      <w:pPr>
        <w:spacing w:line="360" w:lineRule="auto"/>
        <w:ind w:firstLine="420" w:firstLineChars="200"/>
        <w:rPr>
          <w:rFonts w:ascii="Times New Roman" w:hAnsi="Times New Roman" w:eastAsia="新宋体" w:cs="Arial"/>
          <w:szCs w:val="21"/>
        </w:rPr>
      </w:pPr>
      <w:r>
        <w:rPr>
          <w:rFonts w:hint="eastAsia" w:ascii="Times New Roman" w:hAnsi="Times New Roman" w:eastAsia="新宋体" w:cs="Arial"/>
          <w:szCs w:val="21"/>
        </w:rPr>
        <w:t>结合</w:t>
      </w:r>
      <w:r>
        <w:rPr>
          <w:rFonts w:hint="eastAsia" w:ascii="Times New Roman" w:hAnsi="Times New Roman" w:eastAsia="新宋体" w:cs="Calibri"/>
          <w:bCs/>
          <w:szCs w:val="21"/>
        </w:rPr>
        <w:t>系统定期</w:t>
      </w:r>
      <w:r>
        <w:rPr>
          <w:rFonts w:ascii="Times New Roman" w:hAnsi="Times New Roman" w:eastAsia="新宋体" w:cs="Calibri"/>
          <w:bCs/>
          <w:szCs w:val="21"/>
        </w:rPr>
        <w:t>巡检</w:t>
      </w:r>
      <w:r>
        <w:rPr>
          <w:rFonts w:hint="eastAsia" w:ascii="Times New Roman" w:hAnsi="Times New Roman" w:eastAsia="新宋体" w:cs="Calibri"/>
          <w:bCs/>
          <w:szCs w:val="21"/>
        </w:rPr>
        <w:t>和</w:t>
      </w:r>
      <w:r>
        <w:rPr>
          <w:rFonts w:hint="eastAsia" w:ascii="Times New Roman" w:hAnsi="Times New Roman" w:eastAsia="新宋体" w:cs="Arial"/>
          <w:szCs w:val="21"/>
        </w:rPr>
        <w:t>招标方重大事件等实际需要，根据检查的内容和用户提出的具体需求，制定数据库性能调优方案。</w:t>
      </w:r>
    </w:p>
    <w:p>
      <w:pPr>
        <w:spacing w:line="360" w:lineRule="auto"/>
        <w:ind w:firstLine="420" w:firstLineChars="200"/>
        <w:rPr>
          <w:rFonts w:hint="eastAsia" w:ascii="Times New Roman" w:hAnsi="Times New Roman" w:eastAsia="新宋体" w:cs="Times New Roman"/>
          <w:bCs/>
          <w:szCs w:val="21"/>
        </w:rPr>
      </w:pPr>
      <w:r>
        <w:rPr>
          <w:rFonts w:hint="eastAsia" w:ascii="Times New Roman" w:hAnsi="Times New Roman" w:eastAsia="新宋体" w:cs="Arial"/>
          <w:szCs w:val="21"/>
        </w:rPr>
        <w:t>投标方在</w:t>
      </w:r>
      <w:r>
        <w:rPr>
          <w:rFonts w:hint="eastAsia" w:ascii="Times New Roman" w:hAnsi="Times New Roman" w:eastAsia="新宋体" w:cs="Times New Roman"/>
          <w:bCs/>
          <w:szCs w:val="21"/>
        </w:rPr>
        <w:t>招标方的同意下进行数据库性能优化或 SQL优化。</w:t>
      </w:r>
    </w:p>
    <w:p>
      <w:pPr>
        <w:spacing w:line="360" w:lineRule="auto"/>
        <w:ind w:firstLine="422" w:firstLineChars="200"/>
        <w:rPr>
          <w:rFonts w:ascii="Times New Roman" w:hAnsi="Times New Roman" w:eastAsia="新宋体" w:cs="Times New Roman"/>
          <w:b/>
          <w:bCs/>
          <w:szCs w:val="21"/>
        </w:rPr>
      </w:pPr>
      <w:r>
        <w:rPr>
          <w:rFonts w:hint="eastAsia" w:ascii="Times New Roman" w:hAnsi="Times New Roman" w:eastAsia="新宋体" w:cs="Times New Roman"/>
          <w:b/>
          <w:bCs/>
          <w:szCs w:val="21"/>
        </w:rPr>
        <w:t>（</w:t>
      </w:r>
      <w:r>
        <w:rPr>
          <w:rFonts w:hint="eastAsia" w:ascii="Times New Roman" w:hAnsi="Times New Roman" w:eastAsia="新宋体" w:cs="Times New Roman"/>
          <w:b/>
          <w:bCs/>
          <w:szCs w:val="21"/>
          <w:lang w:val="en-US" w:eastAsia="zh-CN"/>
        </w:rPr>
        <w:t>3</w:t>
      </w:r>
      <w:r>
        <w:rPr>
          <w:rFonts w:hint="eastAsia" w:ascii="Times New Roman" w:hAnsi="Times New Roman" w:eastAsia="新宋体" w:cs="Times New Roman"/>
          <w:b/>
          <w:bCs/>
          <w:szCs w:val="21"/>
        </w:rPr>
        <w:t>）技术培训</w:t>
      </w:r>
    </w:p>
    <w:p>
      <w:pPr>
        <w:spacing w:line="360" w:lineRule="auto"/>
        <w:ind w:firstLine="405"/>
        <w:rPr>
          <w:rFonts w:ascii="Times New Roman" w:hAnsi="Times New Roman" w:eastAsia="新宋体" w:cs="Times New Roman"/>
          <w:szCs w:val="21"/>
        </w:rPr>
      </w:pPr>
      <w:r>
        <w:rPr>
          <w:rFonts w:hint="eastAsia" w:ascii="Times New Roman" w:hAnsi="Times New Roman" w:eastAsia="新宋体" w:cs="Times New Roman"/>
          <w:szCs w:val="21"/>
        </w:rPr>
        <w:t>持续培训有利于提高医院DBA团队的技术水平，要求服务团队制定一年的培训计划，要求提供至少半年进行一次培训，每次培训持续2-3天。具有丰富的培训课程选择，避免培训课程重复。</w:t>
      </w:r>
    </w:p>
    <w:p>
      <w:pPr>
        <w:spacing w:line="360" w:lineRule="auto"/>
        <w:ind w:firstLine="405"/>
        <w:rPr>
          <w:rFonts w:hint="eastAsia" w:ascii="Times New Roman" w:hAnsi="Times New Roman" w:eastAsia="新宋体" w:cs="Times New Roman"/>
          <w:szCs w:val="21"/>
        </w:rPr>
      </w:pPr>
      <w:r>
        <w:rPr>
          <w:rFonts w:hint="eastAsia" w:ascii="宋体" w:hAnsi="宋体" w:eastAsia="宋体" w:cs="Times New Roman"/>
          <w:sz w:val="24"/>
        </w:rPr>
        <w:t>★</w:t>
      </w:r>
      <w:r>
        <w:rPr>
          <w:rFonts w:hint="eastAsia" w:ascii="Times New Roman" w:hAnsi="Times New Roman" w:eastAsia="新宋体" w:cs="Times New Roman"/>
          <w:szCs w:val="21"/>
        </w:rPr>
        <w:t>服务期内要求至少提供10人天的数据库相关培训。</w:t>
      </w:r>
    </w:p>
    <w:p>
      <w:pPr>
        <w:spacing w:line="360" w:lineRule="auto"/>
        <w:ind w:firstLine="405"/>
        <w:rPr>
          <w:rFonts w:hint="eastAsia" w:ascii="Times New Roman" w:hAnsi="Times New Roman" w:eastAsia="新宋体" w:cs="Times New Roman"/>
          <w:szCs w:val="21"/>
        </w:rPr>
      </w:pPr>
    </w:p>
    <w:p>
      <w:pPr>
        <w:spacing w:line="360" w:lineRule="auto"/>
        <w:rPr>
          <w:rFonts w:hint="eastAsia" w:ascii="Times New Roman" w:hAnsi="Times New Roman" w:eastAsia="新宋体" w:cs="Times New Roman"/>
          <w:szCs w:val="21"/>
        </w:rPr>
      </w:pPr>
      <w:bookmarkStart w:id="6" w:name="_Toc371429298"/>
      <w:bookmarkStart w:id="7" w:name="_Toc402949473"/>
    </w:p>
    <w:p>
      <w:pPr>
        <w:spacing w:line="360" w:lineRule="auto"/>
        <w:ind w:firstLine="422" w:firstLineChars="200"/>
        <w:rPr>
          <w:rFonts w:ascii="Times New Roman" w:hAnsi="Times New Roman" w:eastAsia="新宋体" w:cs="Times New Roman"/>
          <w:b/>
          <w:bCs/>
          <w:szCs w:val="21"/>
        </w:rPr>
      </w:pPr>
      <w:r>
        <w:rPr>
          <w:rFonts w:hint="eastAsia" w:ascii="Times New Roman" w:hAnsi="Times New Roman" w:eastAsia="新宋体" w:cs="Times New Roman"/>
          <w:b/>
          <w:bCs/>
          <w:szCs w:val="21"/>
        </w:rPr>
        <w:t>（</w:t>
      </w:r>
      <w:r>
        <w:rPr>
          <w:rFonts w:hint="eastAsia" w:ascii="Times New Roman" w:hAnsi="Times New Roman" w:eastAsia="新宋体" w:cs="Times New Roman"/>
          <w:b/>
          <w:bCs/>
          <w:szCs w:val="21"/>
          <w:lang w:val="en-US" w:eastAsia="zh-CN"/>
        </w:rPr>
        <w:t>4</w:t>
      </w:r>
      <w:r>
        <w:rPr>
          <w:rFonts w:hint="eastAsia" w:ascii="Times New Roman" w:hAnsi="Times New Roman" w:eastAsia="新宋体" w:cs="Times New Roman"/>
          <w:b/>
          <w:bCs/>
          <w:szCs w:val="21"/>
        </w:rPr>
        <w:t>）服务团队要求</w:t>
      </w:r>
      <w:bookmarkEnd w:id="6"/>
      <w:bookmarkEnd w:id="7"/>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基本要求</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 xml:space="preserve">4.1  </w:t>
      </w:r>
      <w:r>
        <w:rPr>
          <w:rFonts w:hint="eastAsia" w:ascii="Times New Roman" w:hAnsi="Times New Roman" w:eastAsia="宋体" w:cs="Times New Roman"/>
        </w:rPr>
        <w:t>具有丰富的数据库经验</w:t>
      </w:r>
    </w:p>
    <w:p>
      <w:pPr>
        <w:spacing w:line="360" w:lineRule="auto"/>
        <w:ind w:firstLine="420" w:firstLineChars="200"/>
        <w:rPr>
          <w:rFonts w:hint="eastAsia" w:ascii="Times New Roman" w:hAnsi="Times New Roman" w:eastAsia="新宋体" w:cs="Times New Roman"/>
          <w:szCs w:val="21"/>
        </w:rPr>
      </w:pPr>
      <w:r>
        <w:rPr>
          <w:rFonts w:hint="eastAsia" w:ascii="Times New Roman" w:hAnsi="Times New Roman" w:eastAsia="新宋体" w:cs="Times New Roman"/>
          <w:szCs w:val="21"/>
        </w:rPr>
        <w:t>具有强有力的远程支持能力以快速解决问题。具有丰富的数据库运行维护支持经验和性能优化经验，特别对于Oracle RAC具有丰富的运行维护支持经验和性能优化经验。具有丰富的重大故障和灾难性故障处理经验。具有丰富的数据库安全管理经验。</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 xml:space="preserve">4.2  </w:t>
      </w:r>
      <w:r>
        <w:rPr>
          <w:rFonts w:hint="eastAsia" w:ascii="Times New Roman" w:hAnsi="Times New Roman" w:eastAsia="宋体" w:cs="Times New Roman"/>
        </w:rPr>
        <w:t>具有丰富的小型机维护经验</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温州中医院的核心HIS系统架构在华为</w:t>
      </w:r>
      <w:r>
        <w:rPr>
          <w:rFonts w:ascii="Times New Roman" w:hAnsi="Times New Roman" w:eastAsia="新宋体" w:cs="Times New Roman"/>
          <w:szCs w:val="21"/>
        </w:rPr>
        <w:t>8</w:t>
      </w:r>
      <w:r>
        <w:rPr>
          <w:rFonts w:hint="eastAsia" w:ascii="Times New Roman" w:hAnsi="Times New Roman" w:eastAsia="新宋体" w:cs="Times New Roman"/>
          <w:szCs w:val="21"/>
        </w:rPr>
        <w:t>路服务器上，服务团队需要具有丰富的主机操作</w:t>
      </w:r>
      <w:r>
        <w:rPr>
          <w:rFonts w:ascii="Times New Roman" w:hAnsi="Times New Roman" w:eastAsia="新宋体" w:cs="Times New Roman"/>
          <w:szCs w:val="21"/>
        </w:rPr>
        <w:t>系统</w:t>
      </w:r>
      <w:r>
        <w:rPr>
          <w:rFonts w:hint="eastAsia" w:ascii="Times New Roman" w:hAnsi="Times New Roman" w:eastAsia="新宋体" w:cs="Times New Roman"/>
          <w:szCs w:val="21"/>
        </w:rPr>
        <w:t>知识，更好的保障数据库的稳定运行。</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lang w:val="en-US" w:eastAsia="zh-CN"/>
        </w:rPr>
        <w:t xml:space="preserve">4.3  </w:t>
      </w:r>
      <w:r>
        <w:rPr>
          <w:rFonts w:hint="eastAsia" w:ascii="Times New Roman" w:hAnsi="Times New Roman" w:eastAsia="新宋体" w:cs="Times New Roman"/>
          <w:szCs w:val="21"/>
        </w:rPr>
        <w:t>本地化服务团队+二线Oracle数据库支撑专家组</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要求配备3人以上的服务团队，组成用户Oracle数据库支撑专家组，设置用户的主责工程师以更好的协调用户维保工作。</w:t>
      </w:r>
    </w:p>
    <w:tbl>
      <w:tblPr>
        <w:tblStyle w:val="8"/>
        <w:tblW w:w="0" w:type="auto"/>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950"/>
        <w:gridCol w:w="1595"/>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团队职责</w:t>
            </w:r>
          </w:p>
        </w:tc>
        <w:tc>
          <w:tcPr>
            <w:tcW w:w="950"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人数</w:t>
            </w:r>
          </w:p>
        </w:tc>
        <w:tc>
          <w:tcPr>
            <w:tcW w:w="15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资质要求</w:t>
            </w:r>
          </w:p>
        </w:tc>
        <w:tc>
          <w:tcPr>
            <w:tcW w:w="3833" w:type="dxa"/>
          </w:tcPr>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项目经历要求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1"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服务团队负责人</w:t>
            </w:r>
          </w:p>
        </w:tc>
        <w:tc>
          <w:tcPr>
            <w:tcW w:w="950" w:type="dxa"/>
          </w:tcPr>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w:t>
            </w:r>
          </w:p>
        </w:tc>
        <w:tc>
          <w:tcPr>
            <w:tcW w:w="15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10年IT运维和系统构架优化经历</w:t>
            </w:r>
          </w:p>
        </w:tc>
        <w:tc>
          <w:tcPr>
            <w:tcW w:w="3833"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10年IT运维和系统构架优化经历；具有在医疗、大型运营商；金融行业等的IT运维和架构经验；在数据库，虚拟化等方面，拥有充足经验。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数据库团队负责人</w:t>
            </w:r>
          </w:p>
        </w:tc>
        <w:tc>
          <w:tcPr>
            <w:tcW w:w="950" w:type="dxa"/>
          </w:tcPr>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w:t>
            </w:r>
          </w:p>
        </w:tc>
        <w:tc>
          <w:tcPr>
            <w:tcW w:w="15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 xml:space="preserve">ORACLE OCM </w:t>
            </w:r>
          </w:p>
        </w:tc>
        <w:tc>
          <w:tcPr>
            <w:tcW w:w="3833"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具有5年以上医疗、运营商；金融行业等行业的数据库服务经验（提供项目列表，提供甲方联络人姓名和电话，供查询）。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数据库服务工程师</w:t>
            </w:r>
          </w:p>
        </w:tc>
        <w:tc>
          <w:tcPr>
            <w:tcW w:w="950" w:type="dxa"/>
          </w:tcPr>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1</w:t>
            </w:r>
          </w:p>
        </w:tc>
        <w:tc>
          <w:tcPr>
            <w:tcW w:w="1595"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 xml:space="preserve">ORACLE OCP </w:t>
            </w:r>
          </w:p>
        </w:tc>
        <w:tc>
          <w:tcPr>
            <w:tcW w:w="3833" w:type="dxa"/>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具有2年以上医疗、运营商；金融行业等行业的数据库服务经验。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rPr>
              <w:t>总计</w:t>
            </w:r>
          </w:p>
        </w:tc>
        <w:tc>
          <w:tcPr>
            <w:tcW w:w="6378" w:type="dxa"/>
            <w:gridSpan w:val="3"/>
          </w:tcPr>
          <w:p>
            <w:pPr>
              <w:spacing w:line="360" w:lineRule="auto"/>
              <w:rPr>
                <w:rFonts w:ascii="Times New Roman" w:hAnsi="Times New Roman" w:eastAsia="新宋体" w:cs="Times New Roman"/>
                <w:szCs w:val="21"/>
              </w:rPr>
            </w:pPr>
            <w:r>
              <w:rPr>
                <w:rFonts w:hint="eastAsia" w:ascii="Times New Roman" w:hAnsi="Times New Roman" w:eastAsia="新宋体" w:cs="Times New Roman"/>
                <w:szCs w:val="21"/>
              </w:rPr>
              <w:t>3人；每人不能重复担任上述多个角色</w:t>
            </w:r>
          </w:p>
        </w:tc>
      </w:tr>
    </w:tbl>
    <w:p>
      <w:pPr>
        <w:spacing w:line="360" w:lineRule="auto"/>
        <w:rPr>
          <w:rFonts w:ascii="Times New Roman" w:hAnsi="Times New Roman" w:eastAsia="宋体" w:cs="Times New Roman"/>
          <w:b/>
          <w:bCs/>
        </w:rPr>
      </w:pP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 xml:space="preserve">4.4  </w:t>
      </w:r>
      <w:r>
        <w:rPr>
          <w:rFonts w:hint="eastAsia" w:ascii="Times New Roman" w:hAnsi="Times New Roman" w:eastAsia="宋体" w:cs="Times New Roman"/>
        </w:rPr>
        <w:t>主责工程师要求</w:t>
      </w:r>
    </w:p>
    <w:p>
      <w:pPr>
        <w:spacing w:line="360" w:lineRule="auto"/>
        <w:ind w:firstLine="435"/>
        <w:rPr>
          <w:rFonts w:hint="eastAsia" w:ascii="Times New Roman" w:hAnsi="Times New Roman" w:eastAsia="新宋体" w:cs="Times New Roman"/>
          <w:szCs w:val="21"/>
        </w:rPr>
      </w:pPr>
      <w:r>
        <w:rPr>
          <w:rFonts w:hint="eastAsia" w:ascii="Times New Roman" w:hAnsi="Times New Roman" w:eastAsia="新宋体" w:cs="Times New Roman"/>
          <w:szCs w:val="21"/>
        </w:rPr>
        <w:t>主责工程师负责管理服务团队，并且提供主要客户管理服务。主责工程师要求满足服务团队基本要求，有OC</w:t>
      </w:r>
      <w:r>
        <w:rPr>
          <w:rFonts w:ascii="Times New Roman" w:hAnsi="Times New Roman" w:eastAsia="新宋体" w:cs="Times New Roman"/>
          <w:szCs w:val="21"/>
        </w:rPr>
        <w:t>M</w:t>
      </w:r>
      <w:r>
        <w:rPr>
          <w:rFonts w:hint="eastAsia" w:ascii="Times New Roman" w:hAnsi="Times New Roman" w:eastAsia="新宋体" w:cs="Times New Roman"/>
          <w:szCs w:val="21"/>
        </w:rPr>
        <w:t>证书，并且从事Oracle数据库支持服务5年以上，具有公开的资料可以证明工程师业绩。</w:t>
      </w:r>
    </w:p>
    <w:p>
      <w:pPr>
        <w:spacing w:line="360" w:lineRule="auto"/>
        <w:ind w:firstLine="422" w:firstLineChars="200"/>
        <w:rPr>
          <w:rFonts w:ascii="宋体" w:hAnsi="宋体" w:eastAsia="宋体" w:cs="Times New Roman"/>
          <w:b/>
          <w:bCs/>
          <w:color w:val="000000"/>
          <w:szCs w:val="21"/>
        </w:rPr>
      </w:pPr>
      <w:r>
        <w:rPr>
          <w:rFonts w:hint="eastAsia" w:ascii="宋体" w:hAnsi="宋体" w:eastAsia="宋体" w:cs="Times New Roman"/>
          <w:b/>
          <w:bCs/>
          <w:color w:val="000000"/>
          <w:szCs w:val="21"/>
        </w:rPr>
        <w:t>（</w:t>
      </w:r>
      <w:r>
        <w:rPr>
          <w:rFonts w:hint="eastAsia" w:ascii="宋体" w:hAnsi="宋体" w:eastAsia="宋体" w:cs="Times New Roman"/>
          <w:b/>
          <w:bCs/>
          <w:color w:val="000000"/>
          <w:szCs w:val="21"/>
          <w:lang w:val="en-US" w:eastAsia="zh-CN"/>
        </w:rPr>
        <w:t>5</w:t>
      </w:r>
      <w:r>
        <w:rPr>
          <w:rFonts w:hint="eastAsia" w:ascii="宋体" w:hAnsi="宋体" w:eastAsia="宋体" w:cs="Times New Roman"/>
          <w:b/>
          <w:bCs/>
          <w:color w:val="000000"/>
          <w:szCs w:val="21"/>
        </w:rPr>
        <w:t>）日常巡检服务</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5.1  </w:t>
      </w:r>
      <w:r>
        <w:rPr>
          <w:rFonts w:hint="eastAsia" w:ascii="宋体" w:hAnsi="宋体" w:eastAsia="宋体" w:cs="Times New Roman"/>
          <w:color w:val="000000"/>
          <w:szCs w:val="21"/>
        </w:rPr>
        <w:t>硬件设备日常运行状况检查；</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5.2  </w:t>
      </w:r>
      <w:r>
        <w:rPr>
          <w:rFonts w:hint="eastAsia" w:ascii="宋体" w:hAnsi="宋体" w:eastAsia="宋体" w:cs="Times New Roman"/>
          <w:color w:val="000000"/>
          <w:szCs w:val="21"/>
        </w:rPr>
        <w:t>收集运行期间的负载情况和其他各性能指标；</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 xml:space="preserve">5.3  </w:t>
      </w:r>
      <w:r>
        <w:rPr>
          <w:rFonts w:hint="eastAsia" w:ascii="宋体" w:hAnsi="宋体" w:eastAsia="宋体" w:cs="Times New Roman"/>
          <w:color w:val="000000"/>
          <w:szCs w:val="21"/>
        </w:rPr>
        <w:t>提供一年不少于12次的现场巡检服务，并出具巡检报告；</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 xml:space="preserve">5.4  </w:t>
      </w:r>
      <w:r>
        <w:rPr>
          <w:rFonts w:hint="eastAsia" w:ascii="宋体" w:hAnsi="宋体" w:eastAsia="宋体" w:cs="Times New Roman"/>
          <w:color w:val="000000"/>
          <w:szCs w:val="21"/>
        </w:rPr>
        <w:t>根据招标方的实际情况，制定合理的运维计划和运维操作手册，完善日常运维文档，并根据日常运维内容提供及时告警。</w:t>
      </w:r>
    </w:p>
    <w:p>
      <w:pPr>
        <w:spacing w:line="360" w:lineRule="auto"/>
        <w:ind w:firstLine="422" w:firstLineChars="200"/>
        <w:rPr>
          <w:rFonts w:ascii="宋体" w:hAnsi="宋体" w:eastAsia="宋体" w:cs="Times New Roman"/>
          <w:b/>
          <w:bCs/>
          <w:color w:val="000000"/>
          <w:szCs w:val="21"/>
        </w:rPr>
      </w:pPr>
      <w:r>
        <w:rPr>
          <w:rFonts w:hint="eastAsia" w:ascii="宋体" w:hAnsi="宋体" w:eastAsia="宋体" w:cs="Times New Roman"/>
          <w:b/>
          <w:bCs/>
          <w:color w:val="000000"/>
          <w:szCs w:val="21"/>
        </w:rPr>
        <w:t>（</w:t>
      </w:r>
      <w:r>
        <w:rPr>
          <w:rFonts w:hint="eastAsia" w:ascii="宋体" w:hAnsi="宋体" w:eastAsia="宋体" w:cs="Times New Roman"/>
          <w:b/>
          <w:bCs/>
          <w:color w:val="000000"/>
          <w:szCs w:val="21"/>
          <w:lang w:val="en-US" w:eastAsia="zh-CN"/>
        </w:rPr>
        <w:t>6</w:t>
      </w:r>
      <w:r>
        <w:rPr>
          <w:rFonts w:hint="eastAsia" w:ascii="宋体" w:hAnsi="宋体" w:eastAsia="宋体" w:cs="Times New Roman"/>
          <w:b/>
          <w:bCs/>
          <w:color w:val="000000"/>
          <w:szCs w:val="21"/>
        </w:rPr>
        <w:t>）应急故障处理服务</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中标方应根据用户具体应用环境及业务要求，制定出系统在遇到故障时的应急处理预案，提出切实可行的备份切换方案及措施，确保业务能在最短时间内恢复正常。若在规定时间内无法解决，且无法在短时间内恢复系统，则应立即实行应急措施。故障处理完毕后，中标方须提供“故障分析报告”和“故障处理报告”，提交给用户方备案。故障处理时间要求如下：</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对于关键性问题（影响用户业务正常运作的故障）</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6.1.1 </w:t>
      </w:r>
      <w:r>
        <w:rPr>
          <w:rFonts w:hint="eastAsia" w:ascii="宋体" w:hAnsi="宋体" w:eastAsia="宋体" w:cs="Times New Roman"/>
          <w:color w:val="000000"/>
          <w:szCs w:val="21"/>
        </w:rPr>
        <w:t>响应时间：1～15分钟；</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6.1.2 </w:t>
      </w:r>
      <w:r>
        <w:rPr>
          <w:rFonts w:hint="eastAsia" w:ascii="宋体" w:hAnsi="宋体" w:eastAsia="宋体" w:cs="Times New Roman"/>
          <w:color w:val="000000"/>
          <w:szCs w:val="21"/>
        </w:rPr>
        <w:t>到场时间：1小时内到达现场；</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6.1.3 </w:t>
      </w:r>
      <w:r>
        <w:rPr>
          <w:rFonts w:hint="eastAsia" w:ascii="宋体" w:hAnsi="宋体" w:eastAsia="宋体" w:cs="Times New Roman"/>
          <w:color w:val="000000"/>
          <w:szCs w:val="21"/>
        </w:rPr>
        <w:t>修复时间：2小时内修复。</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6.2  </w:t>
      </w:r>
      <w:r>
        <w:rPr>
          <w:rFonts w:hint="eastAsia" w:ascii="宋体" w:hAnsi="宋体" w:eastAsia="宋体" w:cs="Times New Roman"/>
          <w:color w:val="000000"/>
          <w:szCs w:val="21"/>
        </w:rPr>
        <w:t>对于一般性问题（不影响用户业务正常运作的故障）</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6.2.1 </w:t>
      </w:r>
      <w:r>
        <w:rPr>
          <w:rFonts w:hint="eastAsia" w:ascii="宋体" w:hAnsi="宋体" w:eastAsia="宋体" w:cs="Times New Roman"/>
          <w:color w:val="000000"/>
          <w:szCs w:val="21"/>
        </w:rPr>
        <w:t>响应时间：1～</w:t>
      </w:r>
      <w:r>
        <w:rPr>
          <w:rFonts w:ascii="宋体" w:hAnsi="宋体" w:eastAsia="宋体" w:cs="Times New Roman"/>
          <w:color w:val="000000"/>
          <w:szCs w:val="21"/>
        </w:rPr>
        <w:t>15</w:t>
      </w:r>
      <w:r>
        <w:rPr>
          <w:rFonts w:hint="eastAsia" w:ascii="宋体" w:hAnsi="宋体" w:eastAsia="宋体" w:cs="Times New Roman"/>
          <w:color w:val="000000"/>
          <w:szCs w:val="21"/>
        </w:rPr>
        <w:t>分钟；</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6.2.2 </w:t>
      </w:r>
      <w:r>
        <w:rPr>
          <w:rFonts w:hint="eastAsia" w:ascii="宋体" w:hAnsi="宋体" w:eastAsia="宋体" w:cs="Times New Roman"/>
          <w:color w:val="000000"/>
          <w:szCs w:val="21"/>
        </w:rPr>
        <w:t>到场时间：</w:t>
      </w:r>
      <w:r>
        <w:rPr>
          <w:rFonts w:ascii="宋体" w:hAnsi="宋体" w:eastAsia="宋体" w:cs="Times New Roman"/>
          <w:color w:val="000000"/>
          <w:szCs w:val="21"/>
        </w:rPr>
        <w:t>2</w:t>
      </w:r>
      <w:r>
        <w:rPr>
          <w:rFonts w:hint="eastAsia" w:ascii="宋体" w:hAnsi="宋体" w:eastAsia="宋体" w:cs="Times New Roman"/>
          <w:color w:val="000000"/>
          <w:szCs w:val="21"/>
        </w:rPr>
        <w:t>小时内到达现场;</w:t>
      </w:r>
    </w:p>
    <w:p>
      <w:pPr>
        <w:spacing w:line="360" w:lineRule="auto"/>
        <w:ind w:firstLine="630" w:firstLineChars="3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6.2.3 </w:t>
      </w:r>
      <w:r>
        <w:rPr>
          <w:rFonts w:hint="eastAsia" w:ascii="宋体" w:hAnsi="宋体" w:eastAsia="宋体" w:cs="Times New Roman"/>
          <w:color w:val="000000"/>
          <w:szCs w:val="21"/>
        </w:rPr>
        <w:t>修复时间：4小时内修复。</w:t>
      </w:r>
    </w:p>
    <w:p>
      <w:pPr>
        <w:spacing w:line="360" w:lineRule="auto"/>
        <w:ind w:firstLine="422" w:firstLineChars="200"/>
        <w:rPr>
          <w:rFonts w:ascii="宋体" w:hAnsi="宋体" w:eastAsia="宋体" w:cs="Times New Roman"/>
          <w:b/>
          <w:bCs/>
          <w:color w:val="000000"/>
          <w:szCs w:val="21"/>
        </w:rPr>
      </w:pPr>
      <w:r>
        <w:rPr>
          <w:rFonts w:hint="eastAsia" w:ascii="宋体" w:hAnsi="宋体" w:eastAsia="宋体" w:cs="Times New Roman"/>
          <w:b/>
          <w:bCs/>
          <w:color w:val="000000"/>
          <w:szCs w:val="21"/>
        </w:rPr>
        <w:t>（</w:t>
      </w:r>
      <w:r>
        <w:rPr>
          <w:rFonts w:hint="eastAsia" w:ascii="宋体" w:hAnsi="宋体" w:eastAsia="宋体" w:cs="Times New Roman"/>
          <w:b/>
          <w:bCs/>
          <w:color w:val="000000"/>
          <w:szCs w:val="21"/>
          <w:lang w:val="en-US" w:eastAsia="zh-CN"/>
        </w:rPr>
        <w:t>7</w:t>
      </w:r>
      <w:r>
        <w:rPr>
          <w:rFonts w:hint="eastAsia" w:ascii="宋体" w:hAnsi="宋体" w:eastAsia="宋体" w:cs="Times New Roman"/>
          <w:b/>
          <w:bCs/>
          <w:color w:val="000000"/>
          <w:szCs w:val="21"/>
        </w:rPr>
        <w:t>）其他服务内容</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7.1  </w:t>
      </w:r>
      <w:r>
        <w:rPr>
          <w:rFonts w:hint="eastAsia" w:ascii="宋体" w:hAnsi="宋体" w:eastAsia="宋体" w:cs="Times New Roman"/>
          <w:color w:val="000000"/>
          <w:szCs w:val="21"/>
        </w:rPr>
        <w:t>性能</w:t>
      </w:r>
      <w:r>
        <w:rPr>
          <w:rFonts w:ascii="宋体" w:hAnsi="宋体" w:eastAsia="宋体" w:cs="Times New Roman"/>
          <w:color w:val="000000"/>
          <w:szCs w:val="21"/>
        </w:rPr>
        <w:t>调优</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结合系统定期巡检和招标方重大事件等实际需要，根据招标方提出的具体需求制定性能调优方案，并在招标方的同意下进行性能优化。要求服务团队极为擅长性能优化，具有丰富的性能优化案例和性能优化相关培训课程。提供一年不少于2次的检查优化服务。</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7.2  </w:t>
      </w:r>
      <w:r>
        <w:rPr>
          <w:rFonts w:hint="eastAsia" w:ascii="宋体" w:hAnsi="宋体" w:eastAsia="宋体" w:cs="Times New Roman"/>
          <w:color w:val="000000"/>
          <w:szCs w:val="21"/>
        </w:rPr>
        <w:t>备件支持服务</w:t>
      </w:r>
    </w:p>
    <w:p>
      <w:pPr>
        <w:spacing w:line="360" w:lineRule="auto"/>
        <w:ind w:firstLine="420" w:firstLineChars="200"/>
        <w:rPr>
          <w:rFonts w:ascii="Times New Roman" w:hAnsi="Times New Roman" w:eastAsia="新宋体" w:cs="Times New Roman"/>
          <w:szCs w:val="21"/>
        </w:rPr>
      </w:pPr>
      <w:r>
        <w:rPr>
          <w:rFonts w:hint="eastAsia" w:ascii="宋体" w:hAnsi="宋体" w:eastAsia="宋体" w:cs="Times New Roman"/>
          <w:color w:val="000000"/>
          <w:szCs w:val="21"/>
        </w:rPr>
        <w:t>提供所需的全部劳务、硬件部件和维护材料，以及现场备件更换，现场硬件部件测试及相关故障排除，使得系统硬件恢复至正常状态。当发生复杂故障时，需提供与故障所可能涉及到的相关备件，并提供主要备件的冗余，避免备件发生现场DOA（到货即损）的情况而拖延故障的修复时间。</w:t>
      </w:r>
    </w:p>
    <w:p>
      <w:pPr>
        <w:spacing w:line="360" w:lineRule="auto"/>
        <w:rPr>
          <w:rFonts w:ascii="Times New Roman" w:hAnsi="Times New Roman" w:eastAsia="宋体" w:cs="Times New Roman"/>
        </w:rPr>
      </w:pPr>
      <w:bookmarkStart w:id="8" w:name="_Toc371429299"/>
      <w:bookmarkStart w:id="9" w:name="_Toc402949474"/>
    </w:p>
    <w:p>
      <w:pPr>
        <w:numPr>
          <w:ilvl w:val="0"/>
          <w:numId w:val="2"/>
        </w:num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操作系统运维服务要求</w:t>
      </w:r>
    </w:p>
    <w:p>
      <w:pPr>
        <w:spacing w:line="360" w:lineRule="auto"/>
        <w:ind w:firstLine="420" w:firstLineChars="200"/>
        <w:rPr>
          <w:rFonts w:hint="default"/>
          <w:lang w:val="en-US" w:eastAsia="zh-CN"/>
        </w:rPr>
      </w:pPr>
      <w:r>
        <w:rPr>
          <w:rFonts w:hint="eastAsia"/>
          <w:lang w:val="en-US" w:eastAsia="zh-CN"/>
        </w:rPr>
        <w:t>（1）</w:t>
      </w:r>
      <w:r>
        <w:rPr>
          <w:rFonts w:hint="default"/>
          <w:lang w:val="en-US" w:eastAsia="zh-CN"/>
        </w:rPr>
        <w:t>操作系统类型：AIX、Linux、Windows。</w:t>
      </w:r>
    </w:p>
    <w:p>
      <w:pPr>
        <w:spacing w:line="360" w:lineRule="auto"/>
        <w:ind w:firstLine="420" w:firstLineChars="200"/>
        <w:rPr>
          <w:rFonts w:hint="default"/>
          <w:lang w:val="en-US" w:eastAsia="zh-CN"/>
        </w:rPr>
      </w:pPr>
      <w:r>
        <w:rPr>
          <w:rFonts w:hint="eastAsia"/>
          <w:lang w:val="en-US" w:eastAsia="zh-CN"/>
        </w:rPr>
        <w:t>（2）</w:t>
      </w:r>
      <w:r>
        <w:rPr>
          <w:rFonts w:hint="default"/>
          <w:lang w:val="en-US" w:eastAsia="zh-CN"/>
        </w:rPr>
        <w:t>运维目标：RPO=0，RTO&lt;30分钟，无法达到上述目标所造成的业务损失，业主方有权要求服务方提供赔偿。</w:t>
      </w:r>
    </w:p>
    <w:p>
      <w:pPr>
        <w:spacing w:line="360" w:lineRule="auto"/>
        <w:ind w:firstLine="420" w:firstLineChars="200"/>
        <w:rPr>
          <w:rFonts w:hint="default"/>
          <w:lang w:val="en-US" w:eastAsia="zh-CN"/>
        </w:rPr>
      </w:pPr>
      <w:r>
        <w:rPr>
          <w:rFonts w:hint="eastAsia"/>
          <w:lang w:val="en-US" w:eastAsia="zh-CN"/>
        </w:rPr>
        <w:t>（3）</w:t>
      </w:r>
      <w:r>
        <w:rPr>
          <w:rFonts w:hint="default"/>
          <w:lang w:val="en-US" w:eastAsia="zh-CN"/>
        </w:rPr>
        <w:t>提供操作系统补丁微码升级服务，并建立系统硬件的控制微码及操作系统补丁管理数据库。</w:t>
      </w:r>
    </w:p>
    <w:p>
      <w:pPr>
        <w:spacing w:line="360" w:lineRule="auto"/>
        <w:ind w:firstLine="420" w:firstLineChars="200"/>
        <w:rPr>
          <w:rFonts w:hint="default"/>
          <w:lang w:val="en-US" w:eastAsia="zh-CN"/>
        </w:rPr>
      </w:pPr>
      <w:r>
        <w:rPr>
          <w:rFonts w:hint="eastAsia"/>
          <w:lang w:val="en-US" w:eastAsia="zh-CN"/>
        </w:rPr>
        <w:t>（4）</w:t>
      </w:r>
      <w:r>
        <w:rPr>
          <w:rFonts w:hint="default"/>
          <w:lang w:val="en-US" w:eastAsia="zh-CN"/>
        </w:rPr>
        <w:t>监控操作系统性能，主要包括：CPU、内存、磁盘和网络性能，同时设定阀值报警。</w:t>
      </w:r>
    </w:p>
    <w:p>
      <w:pPr>
        <w:spacing w:line="360" w:lineRule="auto"/>
        <w:ind w:firstLine="420" w:firstLineChars="200"/>
        <w:rPr>
          <w:rFonts w:hint="default"/>
          <w:lang w:val="en-US" w:eastAsia="zh-CN"/>
        </w:rPr>
      </w:pPr>
      <w:r>
        <w:rPr>
          <w:rFonts w:hint="eastAsia"/>
          <w:lang w:val="en-US" w:eastAsia="zh-CN"/>
        </w:rPr>
        <w:t>（5）</w:t>
      </w:r>
      <w:r>
        <w:rPr>
          <w:rFonts w:hint="default"/>
          <w:lang w:val="en-US" w:eastAsia="zh-CN"/>
        </w:rPr>
        <w:t>提供服务器运行状态、性能分析、评估和调整服务，并根据系统资源利用的历史记录，对操作系统定期进行优化。</w:t>
      </w:r>
    </w:p>
    <w:p>
      <w:pPr>
        <w:spacing w:line="360" w:lineRule="auto"/>
        <w:ind w:firstLine="420" w:firstLineChars="200"/>
        <w:rPr>
          <w:rFonts w:hint="default"/>
          <w:lang w:val="en-US" w:eastAsia="zh-CN"/>
        </w:rPr>
      </w:pPr>
      <w:r>
        <w:rPr>
          <w:rFonts w:hint="eastAsia"/>
          <w:lang w:val="en-US" w:eastAsia="zh-CN"/>
        </w:rPr>
        <w:t>（6）</w:t>
      </w:r>
      <w:r>
        <w:rPr>
          <w:rFonts w:hint="default"/>
          <w:lang w:val="en-US" w:eastAsia="zh-CN"/>
        </w:rPr>
        <w:t>提供操作系统软件故障处理和系统恢复服务。</w:t>
      </w:r>
    </w:p>
    <w:p>
      <w:pPr>
        <w:spacing w:line="360" w:lineRule="auto"/>
        <w:ind w:firstLine="420" w:firstLineChars="200"/>
        <w:rPr>
          <w:rFonts w:hint="default"/>
          <w:lang w:val="en-US" w:eastAsia="zh-CN"/>
        </w:rPr>
      </w:pPr>
      <w:r>
        <w:rPr>
          <w:rFonts w:hint="eastAsia"/>
          <w:lang w:val="en-US" w:eastAsia="zh-CN"/>
        </w:rPr>
        <w:t>（7）</w:t>
      </w:r>
      <w:r>
        <w:rPr>
          <w:rFonts w:hint="default"/>
          <w:lang w:val="en-US" w:eastAsia="zh-CN"/>
        </w:rPr>
        <w:t>提供每年2次的HA系统切换演练。</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rPr>
        <w:t>其他要求</w:t>
      </w:r>
      <w:bookmarkEnd w:id="8"/>
      <w:bookmarkEnd w:id="9"/>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lang w:val="en-US" w:eastAsia="zh-CN"/>
        </w:rPr>
        <w:t>1</w:t>
      </w:r>
      <w:r>
        <w:rPr>
          <w:rFonts w:hint="eastAsia" w:ascii="Times New Roman" w:hAnsi="Times New Roman" w:eastAsia="新宋体" w:cs="Times New Roman"/>
          <w:szCs w:val="21"/>
          <w:lang w:eastAsia="zh-CN"/>
        </w:rPr>
        <w:t>）</w:t>
      </w:r>
      <w:r>
        <w:rPr>
          <w:rFonts w:ascii="Times New Roman" w:hAnsi="Times New Roman" w:eastAsia="新宋体" w:cs="Times New Roman"/>
          <w:szCs w:val="21"/>
        </w:rPr>
        <w:t>节假日保障服务：</w:t>
      </w:r>
      <w:r>
        <w:rPr>
          <w:rFonts w:hint="eastAsia" w:ascii="Times New Roman" w:hAnsi="Times New Roman" w:eastAsia="新宋体" w:cs="Times New Roman"/>
          <w:szCs w:val="21"/>
        </w:rPr>
        <w:t>在每次国定长假前提供系统健康检查服务，投标人在长假期间提供响应的7*24小时值班人员及联系电话，根据客户的实际、客观需要，提供假日现场服务。</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lang w:val="en-US" w:eastAsia="zh-CN"/>
        </w:rPr>
        <w:t>2</w:t>
      </w: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rPr>
        <w:t>技术支持服务：对于用户单位因本项目涉及设备出现技术上的问题或其他项目涉及本项目设备需要配合时，提供远程电话或现场技术支持服务。第三方服务配合：当用户问题涉及第三方服务商时，承担协调工作。当用户问题需要配合时</w:t>
      </w:r>
      <w:r>
        <w:rPr>
          <w:rFonts w:ascii="Times New Roman" w:hAnsi="Times New Roman" w:eastAsia="新宋体" w:cs="Times New Roman"/>
          <w:szCs w:val="21"/>
        </w:rPr>
        <w:t xml:space="preserve">, </w:t>
      </w:r>
      <w:r>
        <w:rPr>
          <w:rFonts w:hint="eastAsia" w:ascii="Times New Roman" w:hAnsi="Times New Roman" w:eastAsia="新宋体" w:cs="Times New Roman"/>
          <w:szCs w:val="21"/>
        </w:rPr>
        <w:t>承担配合工作。</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lang w:val="en-US" w:eastAsia="zh-CN"/>
        </w:rPr>
        <w:t>3</w:t>
      </w: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rPr>
        <w:t>系统安装、升级和优化服务</w:t>
      </w:r>
    </w:p>
    <w:p>
      <w:pPr>
        <w:spacing w:line="360" w:lineRule="auto"/>
        <w:ind w:firstLine="435"/>
        <w:rPr>
          <w:rFonts w:ascii="Times New Roman" w:hAnsi="Times New Roman" w:eastAsia="新宋体" w:cs="Times New Roman"/>
          <w:szCs w:val="21"/>
        </w:rPr>
      </w:pPr>
      <w:r>
        <w:rPr>
          <w:rFonts w:hint="eastAsia" w:ascii="Times New Roman" w:hAnsi="Times New Roman" w:eastAsia="新宋体" w:cs="Times New Roman"/>
          <w:szCs w:val="21"/>
        </w:rPr>
        <w:t>对本项目涉及设备的版本进行及时更新；根据巡检结果，对系统结构进行优化，同时对于不涉及系统的整体构架变更和功能增加提供支持服务。根据客户业务系统的需要，进行服务器操作系统安装、补丁更新和升级服务。</w:t>
      </w:r>
    </w:p>
    <w:p>
      <w:pPr>
        <w:spacing w:line="360" w:lineRule="auto"/>
        <w:ind w:firstLine="420" w:firstLineChars="200"/>
        <w:rPr>
          <w:rFonts w:ascii="Times New Roman" w:hAnsi="Times New Roman" w:eastAsia="新宋体" w:cs="Times New Roman"/>
          <w:szCs w:val="21"/>
        </w:rPr>
      </w:pP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lang w:val="en-US" w:eastAsia="zh-CN"/>
        </w:rPr>
        <w:t>4</w:t>
      </w:r>
      <w:r>
        <w:rPr>
          <w:rFonts w:hint="eastAsia" w:ascii="Times New Roman" w:hAnsi="Times New Roman" w:eastAsia="新宋体" w:cs="Times New Roman"/>
          <w:szCs w:val="21"/>
          <w:lang w:eastAsia="zh-CN"/>
        </w:rPr>
        <w:t>）</w:t>
      </w:r>
      <w:r>
        <w:rPr>
          <w:rFonts w:hint="eastAsia" w:ascii="Times New Roman" w:hAnsi="Times New Roman" w:eastAsia="新宋体" w:cs="Times New Roman"/>
          <w:szCs w:val="21"/>
        </w:rPr>
        <w:t>服务总结：向用户提供详细的年度服务总结报告。</w:t>
      </w:r>
    </w:p>
    <w:p>
      <w:pPr>
        <w:spacing w:line="360" w:lineRule="auto"/>
        <w:rPr>
          <w:rFonts w:ascii="Times New Roman" w:hAnsi="Times New Roman" w:eastAsia="新宋体" w:cs="Times New Roman"/>
          <w:color w:val="auto"/>
          <w:szCs w:val="21"/>
        </w:rPr>
      </w:pPr>
    </w:p>
    <w:p>
      <w:pPr>
        <w:spacing w:line="360" w:lineRule="auto"/>
        <w:rPr>
          <w:rFonts w:ascii="Times New Roman" w:hAnsi="Times New Roman" w:eastAsia="新宋体" w:cs="Times New Roman"/>
          <w:b/>
          <w:bCs/>
          <w:color w:val="auto"/>
          <w:sz w:val="24"/>
          <w:szCs w:val="24"/>
        </w:rPr>
      </w:pPr>
      <w:r>
        <w:rPr>
          <w:rFonts w:hint="eastAsia" w:ascii="Times New Roman" w:hAnsi="Times New Roman" w:eastAsia="新宋体" w:cs="Times New Roman"/>
          <w:b/>
          <w:bCs/>
          <w:color w:val="auto"/>
          <w:sz w:val="24"/>
          <w:szCs w:val="24"/>
          <w:lang w:val="en-US" w:eastAsia="zh-CN"/>
        </w:rPr>
        <w:t>4、</w:t>
      </w:r>
      <w:r>
        <w:rPr>
          <w:rFonts w:hint="eastAsia" w:ascii="Times New Roman" w:hAnsi="Times New Roman" w:eastAsia="新宋体" w:cs="Times New Roman"/>
          <w:b/>
          <w:bCs/>
          <w:color w:val="auto"/>
          <w:sz w:val="24"/>
          <w:szCs w:val="24"/>
        </w:rPr>
        <w:t>惩罚约束</w:t>
      </w:r>
    </w:p>
    <w:p>
      <w:pPr>
        <w:spacing w:line="360" w:lineRule="auto"/>
        <w:ind w:firstLine="420" w:firstLineChars="200"/>
        <w:rPr>
          <w:rFonts w:hint="eastAsia" w:ascii="Times New Roman" w:hAnsi="Times New Roman" w:eastAsia="新宋体" w:cs="Times New Roman"/>
          <w:color w:val="auto"/>
          <w:szCs w:val="21"/>
        </w:rPr>
      </w:pPr>
      <w:r>
        <w:rPr>
          <w:rFonts w:hint="eastAsia" w:ascii="Times New Roman" w:hAnsi="Times New Roman" w:eastAsia="新宋体" w:cs="Times New Roman"/>
          <w:color w:val="auto"/>
          <w:szCs w:val="21"/>
          <w:lang w:eastAsia="zh-CN"/>
        </w:rPr>
        <w:t>（</w:t>
      </w:r>
      <w:r>
        <w:rPr>
          <w:rFonts w:hint="eastAsia" w:ascii="Times New Roman" w:hAnsi="Times New Roman" w:eastAsia="新宋体" w:cs="Times New Roman"/>
          <w:color w:val="auto"/>
          <w:szCs w:val="21"/>
          <w:lang w:val="en-US" w:eastAsia="zh-CN"/>
        </w:rPr>
        <w:t>1</w:t>
      </w:r>
      <w:r>
        <w:rPr>
          <w:rFonts w:hint="eastAsia" w:ascii="Times New Roman" w:hAnsi="Times New Roman" w:eastAsia="新宋体" w:cs="Times New Roman"/>
          <w:color w:val="auto"/>
          <w:szCs w:val="21"/>
          <w:lang w:eastAsia="zh-CN"/>
        </w:rPr>
        <w:t>）</w:t>
      </w:r>
      <w:r>
        <w:rPr>
          <w:rFonts w:hint="eastAsia" w:ascii="Times New Roman" w:hAnsi="Times New Roman" w:eastAsia="新宋体" w:cs="Times New Roman"/>
          <w:color w:val="auto"/>
          <w:szCs w:val="21"/>
        </w:rPr>
        <w:t>对于涉及医院核心业务数据库，如维护不当造成整个医院停机造成业务严重损失的，维保验收不合格，医院有权扣除履约保证金。</w:t>
      </w:r>
    </w:p>
    <w:p>
      <w:pPr>
        <w:rPr>
          <w:rFonts w:hint="eastAsia"/>
        </w:rPr>
      </w:pPr>
    </w:p>
    <w:p>
      <w:pPr>
        <w:rPr>
          <w:rFonts w:hint="eastAsia"/>
          <w:b/>
          <w:bCs/>
          <w:sz w:val="28"/>
          <w:szCs w:val="28"/>
          <w:highlight w:val="none"/>
        </w:rPr>
      </w:pPr>
      <w:r>
        <w:rPr>
          <w:rFonts w:hint="eastAsia"/>
          <w:b/>
          <w:bCs/>
          <w:sz w:val="28"/>
          <w:szCs w:val="28"/>
          <w:highlight w:val="none"/>
          <w:lang w:val="en-US" w:eastAsia="zh-CN"/>
        </w:rPr>
        <w:t>四、服务</w:t>
      </w:r>
      <w:r>
        <w:rPr>
          <w:rFonts w:hint="eastAsia"/>
          <w:b/>
          <w:bCs/>
          <w:sz w:val="28"/>
          <w:szCs w:val="28"/>
          <w:highlight w:val="none"/>
        </w:rPr>
        <w:t>要求：</w:t>
      </w:r>
    </w:p>
    <w:p>
      <w:pPr>
        <w:pStyle w:val="7"/>
        <w:spacing w:line="360" w:lineRule="auto"/>
        <w:outlineLvl w:val="0"/>
        <w:rPr>
          <w:rFonts w:hAnsi="宋体" w:cs="宋体"/>
          <w:b/>
          <w:sz w:val="24"/>
          <w:szCs w:val="24"/>
        </w:rPr>
      </w:pPr>
      <w:bookmarkStart w:id="10" w:name="_Toc27335"/>
      <w:r>
        <w:rPr>
          <w:rFonts w:hint="eastAsia" w:hAnsi="宋体" w:cs="宋体"/>
          <w:b/>
          <w:sz w:val="24"/>
          <w:szCs w:val="24"/>
        </w:rPr>
        <w:t>1</w:t>
      </w:r>
      <w:r>
        <w:rPr>
          <w:rFonts w:hint="eastAsia" w:hAnsi="宋体" w:cs="宋体"/>
          <w:b/>
          <w:sz w:val="24"/>
          <w:szCs w:val="24"/>
          <w:lang w:eastAsia="zh-CN"/>
        </w:rPr>
        <w:t>、</w:t>
      </w:r>
      <w:r>
        <w:rPr>
          <w:rFonts w:hint="eastAsia" w:hAnsi="宋体" w:cs="宋体"/>
          <w:b/>
          <w:sz w:val="24"/>
          <w:szCs w:val="24"/>
        </w:rPr>
        <w:t>维护服务原则</w:t>
      </w:r>
      <w:bookmarkEnd w:id="10"/>
    </w:p>
    <w:p>
      <w:pPr>
        <w:pStyle w:val="7"/>
        <w:spacing w:line="360" w:lineRule="auto"/>
        <w:ind w:firstLine="420" w:firstLineChars="200"/>
        <w:rPr>
          <w:rFonts w:hAnsi="宋体" w:cs="宋体"/>
        </w:rPr>
      </w:pPr>
      <w:r>
        <w:rPr>
          <w:rFonts w:hint="eastAsia" w:hAnsi="宋体" w:cs="宋体"/>
        </w:rPr>
        <w:t>报价供应商必须提供确保采购单位所有本次维保设备的可靠、正常运行的维护服务。</w:t>
      </w:r>
    </w:p>
    <w:p>
      <w:pPr>
        <w:pStyle w:val="7"/>
        <w:spacing w:line="360" w:lineRule="auto"/>
        <w:outlineLvl w:val="0"/>
        <w:rPr>
          <w:rFonts w:hAnsi="宋体" w:cs="宋体"/>
          <w:b/>
          <w:sz w:val="24"/>
          <w:szCs w:val="24"/>
        </w:rPr>
      </w:pPr>
      <w:bookmarkStart w:id="11" w:name="_Toc63"/>
      <w:r>
        <w:rPr>
          <w:rFonts w:hint="eastAsia" w:hAnsi="宋体" w:cs="宋体"/>
          <w:b/>
          <w:sz w:val="24"/>
          <w:szCs w:val="24"/>
        </w:rPr>
        <w:t>2</w:t>
      </w:r>
      <w:r>
        <w:rPr>
          <w:rFonts w:hint="eastAsia" w:hAnsi="宋体" w:cs="宋体"/>
          <w:b/>
          <w:sz w:val="24"/>
          <w:szCs w:val="24"/>
          <w:lang w:eastAsia="zh-CN"/>
        </w:rPr>
        <w:t>、</w:t>
      </w:r>
      <w:r>
        <w:rPr>
          <w:rFonts w:hint="eastAsia" w:hAnsi="宋体" w:cs="宋体"/>
          <w:b/>
          <w:sz w:val="24"/>
          <w:szCs w:val="24"/>
        </w:rPr>
        <w:t>维护服务方案</w:t>
      </w:r>
      <w:bookmarkEnd w:id="11"/>
    </w:p>
    <w:p>
      <w:pPr>
        <w:pStyle w:val="7"/>
        <w:spacing w:line="360" w:lineRule="auto"/>
        <w:outlineLvl w:val="0"/>
        <w:rPr>
          <w:rFonts w:hAnsi="宋体" w:cs="宋体"/>
        </w:rPr>
      </w:pPr>
      <w:bookmarkStart w:id="12" w:name="_Toc4623"/>
      <w:r>
        <w:rPr>
          <w:rFonts w:hint="eastAsia" w:hAnsi="宋体" w:cs="宋体"/>
        </w:rPr>
        <w:t>2.1 备件保修和技术服务</w:t>
      </w:r>
      <w:bookmarkEnd w:id="12"/>
    </w:p>
    <w:p>
      <w:pPr>
        <w:pStyle w:val="7"/>
        <w:spacing w:line="360" w:lineRule="auto"/>
        <w:ind w:firstLine="420" w:firstLineChars="200"/>
        <w:rPr>
          <w:rFonts w:hAnsi="宋体" w:cs="宋体"/>
        </w:rPr>
      </w:pPr>
      <w:r>
        <w:rPr>
          <w:rFonts w:hint="eastAsia" w:hAnsi="宋体" w:cs="宋体"/>
        </w:rPr>
        <w:t>（1）如果发生Oracle系统宕机故障，在接到报修电话后10分钟内响应，并以半小时内赶至现场提供维修服务；</w:t>
      </w:r>
    </w:p>
    <w:p>
      <w:pPr>
        <w:pStyle w:val="7"/>
        <w:spacing w:line="360" w:lineRule="auto"/>
        <w:ind w:firstLine="420" w:firstLineChars="200"/>
        <w:rPr>
          <w:rFonts w:hAnsi="宋体" w:cs="宋体"/>
        </w:rPr>
      </w:pPr>
      <w:r>
        <w:rPr>
          <w:rFonts w:hint="eastAsia" w:hAnsi="宋体" w:cs="宋体"/>
        </w:rPr>
        <w:t>（2）如果发生Oracle系统非宕机故障，将在接到报修电话后一小时内响应，并根据客户要求和实际情况到现场提供维护服务；</w:t>
      </w:r>
    </w:p>
    <w:p>
      <w:pPr>
        <w:pStyle w:val="7"/>
        <w:spacing w:line="360" w:lineRule="auto"/>
        <w:rPr>
          <w:rFonts w:hAnsi="宋体" w:cs="宋体"/>
        </w:rPr>
      </w:pPr>
      <w:r>
        <w:rPr>
          <w:rFonts w:hint="eastAsia" w:hAnsi="宋体" w:cs="宋体"/>
        </w:rPr>
        <w:t xml:space="preserve">    （3）当维修在8小时内仍不能恢复，甲方有权请其他公司工程师提供技术支持服务，所有费用需乙方承担。</w:t>
      </w:r>
    </w:p>
    <w:p>
      <w:pPr>
        <w:pStyle w:val="7"/>
        <w:spacing w:line="360" w:lineRule="auto"/>
        <w:outlineLvl w:val="0"/>
        <w:rPr>
          <w:rFonts w:hAnsi="宋体" w:cs="宋体"/>
        </w:rPr>
      </w:pPr>
      <w:bookmarkStart w:id="13" w:name="_Toc31272"/>
      <w:r>
        <w:rPr>
          <w:rFonts w:hint="eastAsia" w:hAnsi="宋体" w:cs="宋体"/>
        </w:rPr>
        <w:t>2.2 预防性维护服务</w:t>
      </w:r>
      <w:bookmarkEnd w:id="13"/>
    </w:p>
    <w:p>
      <w:pPr>
        <w:pStyle w:val="7"/>
        <w:spacing w:line="360" w:lineRule="auto"/>
        <w:ind w:firstLine="420" w:firstLineChars="200"/>
        <w:rPr>
          <w:rFonts w:hAnsi="宋体" w:cs="宋体"/>
        </w:rPr>
      </w:pPr>
      <w:r>
        <w:rPr>
          <w:rFonts w:hint="eastAsia" w:hAnsi="宋体" w:cs="宋体"/>
        </w:rPr>
        <w:t>为使机器正常运行，投标人将定期为采购单位提供一年12次的预防性维护服务：</w:t>
      </w:r>
    </w:p>
    <w:p>
      <w:pPr>
        <w:pStyle w:val="7"/>
        <w:spacing w:line="360" w:lineRule="auto"/>
        <w:ind w:firstLine="420" w:firstLineChars="200"/>
        <w:outlineLvl w:val="0"/>
        <w:rPr>
          <w:rFonts w:hint="eastAsia" w:hAnsi="宋体" w:eastAsia="宋体" w:cs="宋体"/>
          <w:lang w:eastAsia="zh-CN"/>
        </w:rPr>
      </w:pPr>
      <w:bookmarkStart w:id="14" w:name="_Toc27822"/>
      <w:r>
        <w:rPr>
          <w:rFonts w:hint="eastAsia" w:hAnsi="宋体" w:cs="宋体"/>
          <w:lang w:val="en-US" w:eastAsia="zh-CN"/>
        </w:rPr>
        <w:t>（1）</w:t>
      </w:r>
      <w:r>
        <w:rPr>
          <w:rFonts w:hint="eastAsia" w:hAnsi="宋体" w:cs="宋体"/>
        </w:rPr>
        <w:t>编制系统维护服务方案</w:t>
      </w:r>
      <w:bookmarkEnd w:id="14"/>
      <w:r>
        <w:rPr>
          <w:rFonts w:hint="eastAsia" w:hAnsi="宋体" w:cs="宋体"/>
          <w:lang w:eastAsia="zh-CN"/>
        </w:rPr>
        <w:t>；</w:t>
      </w:r>
    </w:p>
    <w:p>
      <w:pPr>
        <w:pStyle w:val="7"/>
        <w:spacing w:line="360" w:lineRule="auto"/>
        <w:rPr>
          <w:rFonts w:hint="eastAsia" w:hAnsi="宋体" w:eastAsia="宋体" w:cs="宋体"/>
          <w:lang w:eastAsia="zh-CN"/>
        </w:rPr>
      </w:pPr>
      <w:r>
        <w:rPr>
          <w:rFonts w:hint="eastAsia" w:hAnsi="宋体" w:cs="宋体"/>
        </w:rPr>
        <w:t xml:space="preserve"> </w:t>
      </w:r>
      <w:r>
        <w:rPr>
          <w:rFonts w:hint="eastAsia" w:hAnsi="宋体" w:cs="宋体"/>
          <w:lang w:val="en-US" w:eastAsia="zh-CN"/>
        </w:rPr>
        <w:t xml:space="preserve">   </w:t>
      </w:r>
      <w:r>
        <w:rPr>
          <w:rFonts w:hint="eastAsia" w:hAnsi="宋体" w:cs="宋体"/>
          <w:lang w:eastAsia="zh-CN"/>
        </w:rPr>
        <w:t>（</w:t>
      </w:r>
      <w:r>
        <w:rPr>
          <w:rFonts w:hint="eastAsia" w:hAnsi="宋体" w:cs="宋体"/>
          <w:lang w:val="en-US" w:eastAsia="zh-CN"/>
        </w:rPr>
        <w:t>2</w:t>
      </w:r>
      <w:r>
        <w:rPr>
          <w:rFonts w:hint="eastAsia" w:hAnsi="宋体" w:cs="宋体"/>
          <w:lang w:eastAsia="zh-CN"/>
        </w:rPr>
        <w:t>）</w:t>
      </w:r>
      <w:r>
        <w:rPr>
          <w:rFonts w:hint="eastAsia" w:hAnsi="宋体" w:cs="宋体"/>
        </w:rPr>
        <w:t>指派专职服务人员对系统依照服务方案进行维护</w:t>
      </w:r>
      <w:r>
        <w:rPr>
          <w:rFonts w:hint="eastAsia" w:hAnsi="宋体" w:cs="宋体"/>
          <w:lang w:eastAsia="zh-CN"/>
        </w:rPr>
        <w:t>；</w:t>
      </w:r>
    </w:p>
    <w:p>
      <w:pPr>
        <w:pStyle w:val="7"/>
        <w:spacing w:line="360" w:lineRule="auto"/>
        <w:rPr>
          <w:rFonts w:hint="eastAsia" w:hAnsi="宋体" w:eastAsia="宋体" w:cs="宋体"/>
          <w:lang w:eastAsia="zh-CN"/>
        </w:rPr>
      </w:pPr>
      <w:r>
        <w:rPr>
          <w:rFonts w:hint="eastAsia" w:hAnsi="宋体" w:cs="宋体"/>
        </w:rPr>
        <w:t xml:space="preserve">  </w:t>
      </w:r>
      <w:r>
        <w:rPr>
          <w:rFonts w:hint="eastAsia" w:hAnsi="宋体" w:cs="宋体"/>
          <w:lang w:val="en-US" w:eastAsia="zh-CN"/>
        </w:rPr>
        <w:t xml:space="preserve">  </w:t>
      </w:r>
      <w:r>
        <w:rPr>
          <w:rFonts w:hint="eastAsia" w:hAnsi="宋体" w:cs="宋体"/>
          <w:lang w:eastAsia="zh-CN"/>
        </w:rPr>
        <w:t>（</w:t>
      </w:r>
      <w:r>
        <w:rPr>
          <w:rFonts w:hint="eastAsia" w:hAnsi="宋体" w:cs="宋体"/>
          <w:lang w:val="en-US" w:eastAsia="zh-CN"/>
        </w:rPr>
        <w:t>3</w:t>
      </w:r>
      <w:r>
        <w:rPr>
          <w:rFonts w:hint="eastAsia" w:hAnsi="宋体" w:cs="宋体"/>
          <w:lang w:eastAsia="zh-CN"/>
        </w:rPr>
        <w:t>）</w:t>
      </w:r>
      <w:r>
        <w:rPr>
          <w:rFonts w:hint="eastAsia" w:hAnsi="宋体" w:cs="宋体"/>
        </w:rPr>
        <w:t>定期对数据库进行例行检查、做预防性维护保养，并提交服务报告</w:t>
      </w:r>
      <w:r>
        <w:rPr>
          <w:rFonts w:hint="eastAsia" w:hAnsi="宋体" w:cs="宋体"/>
          <w:lang w:eastAsia="zh-CN"/>
        </w:rPr>
        <w:t>；</w:t>
      </w:r>
    </w:p>
    <w:p>
      <w:pPr>
        <w:pStyle w:val="7"/>
        <w:spacing w:line="360" w:lineRule="auto"/>
        <w:rPr>
          <w:rFonts w:hint="eastAsia" w:hAnsi="宋体" w:eastAsia="宋体" w:cs="宋体"/>
          <w:lang w:eastAsia="zh-CN"/>
        </w:rPr>
      </w:pPr>
      <w:r>
        <w:rPr>
          <w:rFonts w:hint="eastAsia" w:hAnsi="宋体" w:cs="宋体"/>
        </w:rPr>
        <w:t xml:space="preserve">   </w:t>
      </w:r>
      <w:r>
        <w:rPr>
          <w:rFonts w:hint="eastAsia" w:hAnsi="宋体" w:cs="宋体"/>
          <w:lang w:val="en-US" w:eastAsia="zh-CN"/>
        </w:rPr>
        <w:t xml:space="preserve"> </w:t>
      </w:r>
      <w:r>
        <w:rPr>
          <w:rFonts w:hint="eastAsia" w:hAnsi="宋体" w:cs="宋体"/>
          <w:lang w:eastAsia="zh-CN"/>
        </w:rPr>
        <w:t>（</w:t>
      </w:r>
      <w:r>
        <w:rPr>
          <w:rFonts w:hint="eastAsia" w:hAnsi="宋体" w:cs="宋体"/>
          <w:lang w:val="en-US" w:eastAsia="zh-CN"/>
        </w:rPr>
        <w:t>4</w:t>
      </w:r>
      <w:r>
        <w:rPr>
          <w:rFonts w:hint="eastAsia" w:hAnsi="宋体" w:cs="宋体"/>
          <w:lang w:eastAsia="zh-CN"/>
        </w:rPr>
        <w:t>）</w:t>
      </w:r>
      <w:r>
        <w:rPr>
          <w:rFonts w:hint="eastAsia" w:hAnsi="宋体" w:cs="宋体"/>
        </w:rPr>
        <w:t>为保证服务质量，成立服务小组或指定专责工程师支持</w:t>
      </w:r>
      <w:r>
        <w:rPr>
          <w:rFonts w:hint="eastAsia" w:hAnsi="宋体" w:cs="宋体"/>
          <w:lang w:eastAsia="zh-CN"/>
        </w:rPr>
        <w:t>。</w:t>
      </w:r>
    </w:p>
    <w:p>
      <w:pPr>
        <w:pStyle w:val="7"/>
        <w:spacing w:line="360" w:lineRule="auto"/>
        <w:outlineLvl w:val="0"/>
        <w:rPr>
          <w:rFonts w:hAnsi="宋体" w:cs="宋体"/>
        </w:rPr>
      </w:pPr>
      <w:bookmarkStart w:id="15" w:name="_Toc19032"/>
      <w:r>
        <w:rPr>
          <w:rFonts w:hint="eastAsia" w:hAnsi="宋体" w:cs="宋体"/>
        </w:rPr>
        <w:t>2.</w:t>
      </w:r>
      <w:r>
        <w:rPr>
          <w:rFonts w:hint="eastAsia" w:hAnsi="宋体" w:cs="宋体"/>
          <w:lang w:val="en-US" w:eastAsia="zh-CN"/>
        </w:rPr>
        <w:t>3</w:t>
      </w:r>
      <w:r>
        <w:rPr>
          <w:rFonts w:hint="eastAsia" w:hAnsi="宋体" w:cs="宋体"/>
        </w:rPr>
        <w:t xml:space="preserve"> 电话技术支持服务</w:t>
      </w:r>
      <w:bookmarkEnd w:id="15"/>
    </w:p>
    <w:p>
      <w:pPr>
        <w:pStyle w:val="7"/>
        <w:spacing w:line="360" w:lineRule="auto"/>
        <w:rPr>
          <w:rFonts w:hAnsi="宋体" w:cs="宋体"/>
        </w:rPr>
      </w:pPr>
      <w:r>
        <w:rPr>
          <w:rFonts w:hint="eastAsia" w:hAnsi="宋体" w:cs="宋体"/>
        </w:rPr>
        <w:t xml:space="preserve">    投标人将通过电话向客户提供下列技术支持：</w:t>
      </w:r>
    </w:p>
    <w:p>
      <w:pPr>
        <w:pStyle w:val="7"/>
        <w:spacing w:line="360" w:lineRule="auto"/>
        <w:rPr>
          <w:rFonts w:hint="eastAsia" w:hAnsi="宋体" w:eastAsia="宋体" w:cs="宋体"/>
          <w:lang w:eastAsia="zh-CN"/>
        </w:rPr>
      </w:pPr>
      <w:r>
        <w:rPr>
          <w:rFonts w:hint="eastAsia" w:hAnsi="宋体" w:cs="宋体"/>
        </w:rPr>
        <w:t xml:space="preserve">    （1）分析判断或解答硬软件报障问题</w:t>
      </w:r>
      <w:r>
        <w:rPr>
          <w:rFonts w:hint="eastAsia" w:hAnsi="宋体" w:cs="宋体"/>
          <w:lang w:eastAsia="zh-CN"/>
        </w:rPr>
        <w:t>；</w:t>
      </w:r>
    </w:p>
    <w:p>
      <w:pPr>
        <w:pStyle w:val="7"/>
        <w:spacing w:line="360" w:lineRule="auto"/>
        <w:rPr>
          <w:rFonts w:hint="eastAsia" w:hAnsi="宋体" w:eastAsia="宋体" w:cs="宋体"/>
          <w:lang w:eastAsia="zh-CN"/>
        </w:rPr>
      </w:pPr>
      <w:r>
        <w:rPr>
          <w:rFonts w:hint="eastAsia" w:hAnsi="宋体" w:cs="宋体"/>
        </w:rPr>
        <w:t xml:space="preserve">    （</w:t>
      </w:r>
      <w:r>
        <w:rPr>
          <w:rFonts w:hint="eastAsia" w:hAnsi="宋体" w:cs="宋体"/>
          <w:lang w:val="en-US" w:eastAsia="zh-CN"/>
        </w:rPr>
        <w:t>2</w:t>
      </w:r>
      <w:r>
        <w:rPr>
          <w:rFonts w:hint="eastAsia" w:hAnsi="宋体" w:cs="宋体"/>
        </w:rPr>
        <w:t>）指导或解答有关系统软件日常运作和安装问题</w:t>
      </w:r>
      <w:r>
        <w:rPr>
          <w:rFonts w:hint="eastAsia" w:hAnsi="宋体" w:cs="宋体"/>
          <w:lang w:eastAsia="zh-CN"/>
        </w:rPr>
        <w:t>。</w:t>
      </w:r>
    </w:p>
    <w:p>
      <w:pPr>
        <w:pStyle w:val="7"/>
        <w:spacing w:line="360" w:lineRule="auto"/>
        <w:outlineLvl w:val="0"/>
        <w:rPr>
          <w:rFonts w:hAnsi="宋体" w:cs="宋体"/>
        </w:rPr>
      </w:pPr>
      <w:bookmarkStart w:id="16" w:name="_Toc12442"/>
      <w:r>
        <w:rPr>
          <w:rFonts w:hint="eastAsia" w:hAnsi="宋体" w:cs="宋体"/>
        </w:rPr>
        <w:t>2.</w:t>
      </w:r>
      <w:r>
        <w:rPr>
          <w:rFonts w:hint="eastAsia" w:hAnsi="宋体" w:cs="宋体"/>
          <w:lang w:val="en-US" w:eastAsia="zh-CN"/>
        </w:rPr>
        <w:t>4</w:t>
      </w:r>
      <w:r>
        <w:rPr>
          <w:rFonts w:hint="eastAsia" w:hAnsi="宋体" w:cs="宋体"/>
        </w:rPr>
        <w:t xml:space="preserve"> 到场服务</w:t>
      </w:r>
      <w:bookmarkEnd w:id="16"/>
    </w:p>
    <w:p>
      <w:pPr>
        <w:pStyle w:val="7"/>
        <w:spacing w:line="360" w:lineRule="auto"/>
        <w:ind w:firstLine="420" w:firstLineChars="200"/>
        <w:rPr>
          <w:rFonts w:hAnsi="宋体" w:cs="宋体"/>
        </w:rPr>
      </w:pPr>
      <w:r>
        <w:rPr>
          <w:rFonts w:hint="eastAsia" w:hAnsi="宋体" w:cs="宋体"/>
        </w:rPr>
        <w:t>对于上述电话技术支持服务无法解决或解答的问题，投标人将提供到场服务</w:t>
      </w:r>
      <w:r>
        <w:rPr>
          <w:rFonts w:hint="eastAsia" w:hAnsi="宋体" w:cs="宋体"/>
        </w:rPr>
        <w:tab/>
      </w:r>
    </w:p>
    <w:p>
      <w:pPr>
        <w:pStyle w:val="7"/>
        <w:spacing w:line="360" w:lineRule="auto"/>
        <w:outlineLvl w:val="0"/>
        <w:rPr>
          <w:rFonts w:hAnsi="宋体" w:cs="宋体"/>
        </w:rPr>
      </w:pPr>
      <w:bookmarkStart w:id="17" w:name="_Toc12629"/>
      <w:r>
        <w:rPr>
          <w:rFonts w:hint="eastAsia" w:hAnsi="宋体" w:cs="宋体"/>
        </w:rPr>
        <w:t>2.</w:t>
      </w:r>
      <w:r>
        <w:rPr>
          <w:rFonts w:hint="eastAsia" w:hAnsi="宋体" w:cs="宋体"/>
          <w:lang w:val="en-US" w:eastAsia="zh-CN"/>
        </w:rPr>
        <w:t xml:space="preserve">5 </w:t>
      </w:r>
      <w:r>
        <w:rPr>
          <w:rFonts w:hint="eastAsia" w:hAnsi="宋体" w:cs="宋体"/>
        </w:rPr>
        <w:t>对服务器平台上操作系统软件的维护</w:t>
      </w:r>
      <w:bookmarkEnd w:id="17"/>
    </w:p>
    <w:p>
      <w:pPr>
        <w:pStyle w:val="7"/>
        <w:spacing w:line="360" w:lineRule="auto"/>
        <w:ind w:firstLine="420" w:firstLineChars="200"/>
        <w:rPr>
          <w:rFonts w:hAnsi="宋体" w:cs="宋体"/>
        </w:rPr>
      </w:pPr>
      <w:r>
        <w:rPr>
          <w:rFonts w:hint="eastAsia" w:hAnsi="宋体" w:cs="宋体"/>
        </w:rPr>
        <w:t>（1）投标人将协助客户进行受支持的软件产品的基本的日常维护和管理；</w:t>
      </w:r>
    </w:p>
    <w:p>
      <w:pPr>
        <w:pStyle w:val="7"/>
        <w:spacing w:line="360" w:lineRule="auto"/>
        <w:ind w:firstLine="420" w:firstLineChars="200"/>
        <w:rPr>
          <w:rFonts w:hAnsi="宋体" w:cs="宋体"/>
        </w:rPr>
      </w:pPr>
      <w:r>
        <w:rPr>
          <w:rFonts w:hint="eastAsia" w:hAnsi="宋体" w:cs="宋体"/>
        </w:rPr>
        <w:t>（</w:t>
      </w:r>
      <w:r>
        <w:rPr>
          <w:rFonts w:hint="eastAsia" w:hAnsi="宋体" w:cs="宋体"/>
          <w:lang w:val="en-US" w:eastAsia="zh-CN"/>
        </w:rPr>
        <w:t>2</w:t>
      </w:r>
      <w:r>
        <w:rPr>
          <w:rFonts w:hint="eastAsia" w:hAnsi="宋体" w:cs="宋体"/>
        </w:rPr>
        <w:t>）协助客户对所报告的问题进行定义及指导客户相关技术人员完成解决问题所需要的相关信息的收集工作；</w:t>
      </w:r>
    </w:p>
    <w:p>
      <w:pPr>
        <w:pStyle w:val="7"/>
        <w:spacing w:line="360" w:lineRule="auto"/>
        <w:rPr>
          <w:rFonts w:hAnsi="宋体" w:cs="宋体"/>
        </w:rPr>
      </w:pPr>
      <w:r>
        <w:rPr>
          <w:rFonts w:hint="eastAsia" w:hAnsi="宋体" w:cs="宋体"/>
        </w:rPr>
        <w:t xml:space="preserve">  </w:t>
      </w:r>
      <w:r>
        <w:rPr>
          <w:rFonts w:hint="eastAsia" w:hAnsi="宋体" w:cs="宋体"/>
          <w:lang w:val="en-US" w:eastAsia="zh-CN"/>
        </w:rPr>
        <w:t xml:space="preserve"> </w:t>
      </w:r>
      <w:r>
        <w:rPr>
          <w:rFonts w:hint="eastAsia" w:hAnsi="宋体" w:cs="宋体"/>
        </w:rPr>
        <w:t xml:space="preserve"> （</w:t>
      </w:r>
      <w:r>
        <w:rPr>
          <w:rFonts w:hint="eastAsia" w:hAnsi="宋体" w:cs="宋体"/>
          <w:lang w:val="en-US" w:eastAsia="zh-CN"/>
        </w:rPr>
        <w:t>3</w:t>
      </w:r>
      <w:r>
        <w:rPr>
          <w:rFonts w:hint="eastAsia" w:hAnsi="宋体" w:cs="宋体"/>
        </w:rPr>
        <w:t>）投标人将帮助客户对所报告的问题进行问题根源的分析和诊断；</w:t>
      </w:r>
    </w:p>
    <w:p>
      <w:pPr>
        <w:pStyle w:val="7"/>
        <w:spacing w:line="360" w:lineRule="auto"/>
        <w:rPr>
          <w:rFonts w:hAnsi="宋体" w:cs="宋体"/>
        </w:rPr>
      </w:pPr>
      <w:r>
        <w:rPr>
          <w:rFonts w:hint="eastAsia" w:hAnsi="宋体" w:cs="宋体"/>
        </w:rPr>
        <w:t xml:space="preserve"> </w:t>
      </w:r>
      <w:r>
        <w:rPr>
          <w:rFonts w:hint="eastAsia" w:hAnsi="宋体" w:cs="宋体"/>
          <w:lang w:val="en-US" w:eastAsia="zh-CN"/>
        </w:rPr>
        <w:t xml:space="preserve">  </w:t>
      </w:r>
      <w:r>
        <w:rPr>
          <w:rFonts w:hint="eastAsia" w:hAnsi="宋体" w:cs="宋体"/>
        </w:rPr>
        <w:t xml:space="preserve"> （</w:t>
      </w:r>
      <w:r>
        <w:rPr>
          <w:rFonts w:hint="eastAsia" w:hAnsi="宋体" w:cs="宋体"/>
          <w:lang w:val="en-US" w:eastAsia="zh-CN"/>
        </w:rPr>
        <w:t>4</w:t>
      </w:r>
      <w:r>
        <w:rPr>
          <w:rFonts w:hint="eastAsia" w:hAnsi="宋体" w:cs="宋体"/>
        </w:rPr>
        <w:t>）对于软件本身的问题，投标人将根据需要向客户免费提供相关的修正性软件；</w:t>
      </w:r>
    </w:p>
    <w:p>
      <w:pPr>
        <w:pStyle w:val="7"/>
        <w:spacing w:line="360" w:lineRule="auto"/>
        <w:rPr>
          <w:rFonts w:hint="eastAsia" w:hAnsi="宋体" w:cs="宋体"/>
        </w:rPr>
      </w:pPr>
      <w:r>
        <w:rPr>
          <w:rFonts w:hint="eastAsia" w:hAnsi="宋体" w:cs="宋体"/>
        </w:rPr>
        <w:t xml:space="preserve">   </w:t>
      </w:r>
      <w:r>
        <w:rPr>
          <w:rFonts w:hint="eastAsia" w:hAnsi="宋体" w:cs="宋体"/>
          <w:lang w:val="en-US" w:eastAsia="zh-CN"/>
        </w:rPr>
        <w:t xml:space="preserve"> </w:t>
      </w:r>
      <w:r>
        <w:rPr>
          <w:rFonts w:hint="eastAsia" w:hAnsi="宋体" w:cs="宋体"/>
        </w:rPr>
        <w:t>（</w:t>
      </w:r>
      <w:r>
        <w:rPr>
          <w:rFonts w:hint="eastAsia" w:hAnsi="宋体" w:cs="宋体"/>
          <w:lang w:val="en-US" w:eastAsia="zh-CN"/>
        </w:rPr>
        <w:t>5</w:t>
      </w:r>
      <w:r>
        <w:rPr>
          <w:rFonts w:hint="eastAsia" w:hAnsi="宋体" w:cs="宋体"/>
        </w:rPr>
        <w:t>）对客户所报告的有关受支持软件产品的问题，投标人将根据需要使用标准系统进行记录和跟踪，并根际情形对问题的严重程度和优先级别进行设定和更新；</w:t>
      </w:r>
    </w:p>
    <w:p>
      <w:pPr>
        <w:pStyle w:val="7"/>
        <w:spacing w:line="360" w:lineRule="auto"/>
        <w:ind w:firstLine="420" w:firstLineChars="200"/>
      </w:pPr>
      <w:r>
        <w:rPr>
          <w:rFonts w:hint="eastAsia" w:hAnsi="宋体" w:cs="宋体"/>
        </w:rPr>
        <w:t>（</w:t>
      </w:r>
      <w:r>
        <w:rPr>
          <w:rFonts w:hint="eastAsia" w:hAnsi="宋体" w:cs="宋体"/>
          <w:lang w:val="en-US" w:eastAsia="zh-CN"/>
        </w:rPr>
        <w:t>6</w:t>
      </w:r>
      <w:r>
        <w:rPr>
          <w:rFonts w:hint="eastAsia" w:hAnsi="宋体" w:cs="宋体"/>
        </w:rPr>
        <w:t>）投标人在应用软件安据实装完毕后应进行基本系统测试。</w:t>
      </w:r>
    </w:p>
    <w:p>
      <w:pPr>
        <w:pStyle w:val="7"/>
        <w:spacing w:line="360" w:lineRule="auto"/>
        <w:outlineLvl w:val="0"/>
        <w:rPr>
          <w:rFonts w:hAnsi="宋体" w:cs="宋体"/>
        </w:rPr>
      </w:pPr>
      <w:r>
        <w:rPr>
          <w:rFonts w:hint="eastAsia" w:hAnsi="宋体" w:cs="宋体"/>
        </w:rPr>
        <w:t>2.</w:t>
      </w:r>
      <w:r>
        <w:rPr>
          <w:rFonts w:hint="eastAsia" w:hAnsi="宋体" w:cs="宋体"/>
          <w:lang w:val="en-US" w:eastAsia="zh-CN"/>
        </w:rPr>
        <w:t xml:space="preserve">6 </w:t>
      </w:r>
      <w:r>
        <w:rPr>
          <w:rFonts w:hint="eastAsia" w:hAnsi="宋体" w:cs="宋体"/>
        </w:rPr>
        <w:t>ORACLE数据库服务内容：</w:t>
      </w:r>
    </w:p>
    <w:p>
      <w:pPr>
        <w:widowControl/>
        <w:numPr>
          <w:ilvl w:val="0"/>
          <w:numId w:val="0"/>
        </w:numPr>
        <w:spacing w:line="360" w:lineRule="auto"/>
        <w:ind w:firstLine="420" w:firstLineChars="200"/>
        <w:jc w:val="left"/>
      </w:pPr>
      <w:r>
        <w:rPr>
          <w:rFonts w:hint="eastAsia"/>
        </w:rPr>
        <w:t>（1）Oracle数据库规划</w:t>
      </w:r>
    </w:p>
    <w:p>
      <w:pPr>
        <w:spacing w:line="360" w:lineRule="auto"/>
        <w:ind w:firstLine="420" w:firstLineChars="200"/>
        <w:rPr>
          <w:rFonts w:ascii="宋体" w:hAnsi="宋体"/>
          <w:color w:val="000000"/>
        </w:rPr>
      </w:pPr>
      <w:r>
        <w:rPr>
          <w:rFonts w:hint="eastAsia" w:ascii="宋体" w:hAnsi="宋体"/>
          <w:color w:val="000000"/>
        </w:rPr>
        <w:t>根据目前现状，在充分保护数据安全的情况下，对现有系统做全面、整体的规划，提高系统的安全性，制定出符合实际的Oracle实施及运行维护方案，保证用户业务系统正常稳定的运行， 同时还将协助用户制订各种管理规范及维护档案， 制订这些工作规范及流程将帮助客户规范数据库日常维护工作，明确责任，尽早发现问题；要求中标单位的技术人员将和客户的技术人员一起，根据已有的其他客户系统的认识，分析目前的情况，制定以上策略。</w:t>
      </w:r>
    </w:p>
    <w:p>
      <w:pPr>
        <w:widowControl/>
        <w:numPr>
          <w:ilvl w:val="0"/>
          <w:numId w:val="3"/>
        </w:numPr>
        <w:spacing w:line="360" w:lineRule="auto"/>
        <w:ind w:firstLine="420" w:firstLineChars="200"/>
        <w:jc w:val="left"/>
        <w:rPr>
          <w:rFonts w:hint="eastAsia"/>
        </w:rPr>
      </w:pPr>
      <w:r>
        <w:rPr>
          <w:rFonts w:hint="eastAsia"/>
        </w:rPr>
        <w:t>安全性管理</w:t>
      </w:r>
    </w:p>
    <w:p>
      <w:pPr>
        <w:widowControl/>
        <w:numPr>
          <w:ilvl w:val="0"/>
          <w:numId w:val="0"/>
        </w:numPr>
        <w:spacing w:line="360" w:lineRule="auto"/>
        <w:ind w:firstLine="420" w:firstLineChars="200"/>
        <w:jc w:val="left"/>
      </w:pPr>
      <w:r>
        <w:rPr>
          <w:rFonts w:hint="eastAsia"/>
        </w:rPr>
        <w:t>协用户规划权限分配，管理控制数据库和中间件使用者，保证数据安全性。</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3</w:t>
      </w:r>
      <w:r>
        <w:rPr>
          <w:rFonts w:hint="eastAsia"/>
          <w:lang w:eastAsia="zh-CN"/>
        </w:rPr>
        <w:t>）</w:t>
      </w:r>
      <w:r>
        <w:rPr>
          <w:rFonts w:hint="eastAsia"/>
        </w:rPr>
        <w:t>Oracle产品安装服务</w:t>
      </w:r>
    </w:p>
    <w:p>
      <w:pPr>
        <w:spacing w:line="360" w:lineRule="auto"/>
        <w:ind w:firstLine="420" w:firstLineChars="200"/>
        <w:rPr>
          <w:rFonts w:ascii="宋体" w:hAnsi="宋体"/>
        </w:rPr>
      </w:pPr>
      <w:r>
        <w:rPr>
          <w:rFonts w:hint="eastAsia" w:ascii="宋体" w:hAnsi="宋体"/>
        </w:rPr>
        <w:t>采购单位目前核心业务系统（HIS、LIS、EMR、PACS）后台数据库为四套运行于IBM AIX平台及X</w:t>
      </w:r>
      <w:r>
        <w:rPr>
          <w:rFonts w:ascii="宋体" w:hAnsi="宋体"/>
        </w:rPr>
        <w:t>86</w:t>
      </w:r>
      <w:r>
        <w:rPr>
          <w:rFonts w:hint="eastAsia" w:ascii="宋体" w:hAnsi="宋体"/>
        </w:rPr>
        <w:t>平台的双机ＲＡＣ，在本维护期内，涉及到异地实时数据同步容灾的实施，要求中标单位进行数据库的安装、备份等工作，顺利完成异地实时数据同步容灾项目，提供容灾应急预案，并通过异地容灾主备系统切换检验测试。</w:t>
      </w:r>
    </w:p>
    <w:p>
      <w:pPr>
        <w:spacing w:line="360" w:lineRule="auto"/>
        <w:ind w:firstLine="420" w:firstLineChars="200"/>
        <w:rPr>
          <w:rFonts w:ascii="宋体" w:hAnsi="宋体"/>
          <w:color w:val="FF0000"/>
        </w:rPr>
      </w:pPr>
      <w:r>
        <w:rPr>
          <w:rFonts w:hint="eastAsia" w:ascii="宋体" w:hAnsi="宋体"/>
        </w:rPr>
        <w:t>Oracle产品安装服务不限于上述四套核心业务系统数据库，根据采购单位需求，及时提供可能增加的业务系统数据库安装及技术服务。</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4</w:t>
      </w:r>
      <w:r>
        <w:rPr>
          <w:rFonts w:hint="eastAsia"/>
          <w:lang w:eastAsia="zh-CN"/>
        </w:rPr>
        <w:t>）</w:t>
      </w:r>
      <w:r>
        <w:rPr>
          <w:rFonts w:hint="eastAsia"/>
        </w:rPr>
        <w:t>7*24小时紧急救援服务</w:t>
      </w:r>
    </w:p>
    <w:p>
      <w:pPr>
        <w:spacing w:line="360" w:lineRule="auto"/>
        <w:ind w:firstLine="420" w:firstLineChars="200"/>
        <w:rPr>
          <w:rFonts w:ascii="宋体" w:hAnsi="宋体"/>
          <w:color w:val="000000"/>
        </w:rPr>
      </w:pPr>
      <w:r>
        <w:rPr>
          <w:rFonts w:hint="eastAsia" w:ascii="宋体" w:hAnsi="宋体"/>
          <w:color w:val="000000"/>
        </w:rPr>
        <w:t>中标单位需要指定二名资深双料技术支持工程师（要求有</w:t>
      </w:r>
      <w:r>
        <w:rPr>
          <w:rFonts w:ascii="宋体" w:hAnsi="宋体"/>
          <w:color w:val="000000"/>
        </w:rPr>
        <w:t>Oracle</w:t>
      </w:r>
      <w:r>
        <w:rPr>
          <w:rFonts w:hint="eastAsia" w:ascii="宋体" w:hAnsi="宋体"/>
          <w:color w:val="000000"/>
        </w:rPr>
        <w:t>和A</w:t>
      </w:r>
      <w:r>
        <w:rPr>
          <w:rFonts w:ascii="宋体" w:hAnsi="宋体"/>
          <w:color w:val="000000"/>
        </w:rPr>
        <w:t>IX</w:t>
      </w:r>
      <w:r>
        <w:rPr>
          <w:rFonts w:hint="eastAsia" w:ascii="宋体" w:hAnsi="宋体"/>
          <w:color w:val="000000"/>
        </w:rPr>
        <w:t>认证证书）作为专责工程师，该工程师需熟悉采购单位核心业务系统及环境、以及Oracle数据库，为了更好的保障采购单位的核心业务系统的稳定运行，原则上专责工程师不得随意更换。</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5</w:t>
      </w:r>
      <w:r>
        <w:rPr>
          <w:rFonts w:hint="eastAsia"/>
          <w:lang w:eastAsia="zh-CN"/>
        </w:rPr>
        <w:t>）</w:t>
      </w:r>
      <w:r>
        <w:rPr>
          <w:rFonts w:hint="eastAsia"/>
        </w:rPr>
        <w:t>运行状况监控及诊断</w:t>
      </w:r>
    </w:p>
    <w:p>
      <w:pPr>
        <w:spacing w:line="360" w:lineRule="auto"/>
        <w:ind w:firstLine="420" w:firstLineChars="200"/>
        <w:rPr>
          <w:rFonts w:ascii="宋体" w:hAnsi="宋体"/>
          <w:color w:val="000000"/>
        </w:rPr>
      </w:pPr>
      <w:r>
        <w:rPr>
          <w:rFonts w:hint="eastAsia" w:ascii="宋体" w:hAnsi="宋体"/>
          <w:color w:val="000000"/>
        </w:rPr>
        <w:t>根据用户方的要求，需提供数据库运行状况监控服务及故障诊断，并保证用户的数据保密。指派专业的、经验丰富的工程师提供远程在线监控及诊断，在第一时间向客户通知Oracle数据库的异常现象并协助客户解决。若远程诊断无法解决问题，将根据用户需要，立刻派工程师现场解决。</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6</w:t>
      </w:r>
      <w:r>
        <w:rPr>
          <w:rFonts w:hint="eastAsia"/>
          <w:lang w:eastAsia="zh-CN"/>
        </w:rPr>
        <w:t>）</w:t>
      </w:r>
      <w:r>
        <w:rPr>
          <w:rFonts w:hint="eastAsia"/>
        </w:rPr>
        <w:t>Oracle升级和数据迁移服务</w:t>
      </w:r>
    </w:p>
    <w:p>
      <w:pPr>
        <w:spacing w:line="360" w:lineRule="auto"/>
        <w:ind w:firstLine="420" w:firstLineChars="200"/>
        <w:rPr>
          <w:rFonts w:ascii="宋体" w:hAnsi="宋体"/>
        </w:rPr>
      </w:pPr>
      <w:r>
        <w:rPr>
          <w:rFonts w:hint="eastAsia" w:ascii="宋体" w:hAnsi="宋体"/>
        </w:rPr>
        <w:t>数据库升级服务主要适用于Oracle核心数据产品和工具，包括：评价数据库升级带来的优点和可能产生的问题</w:t>
      </w:r>
      <w:r>
        <w:rPr>
          <w:rFonts w:hint="eastAsia" w:ascii="宋体" w:hAnsi="宋体"/>
          <w:lang w:eastAsia="zh-CN"/>
        </w:rPr>
        <w:t>，</w:t>
      </w:r>
      <w:r>
        <w:rPr>
          <w:rFonts w:hint="eastAsia" w:ascii="宋体" w:hAnsi="宋体"/>
        </w:rPr>
        <w:t>保证产品升级的过程中数据的安全性</w:t>
      </w:r>
      <w:r>
        <w:rPr>
          <w:rFonts w:hint="eastAsia" w:ascii="宋体" w:hAnsi="宋体"/>
          <w:lang w:eastAsia="zh-CN"/>
        </w:rPr>
        <w:t>，</w:t>
      </w:r>
      <w:r>
        <w:rPr>
          <w:rFonts w:hint="eastAsia" w:ascii="宋体" w:hAnsi="宋体"/>
        </w:rPr>
        <w:t>在关键阶段有针对性的专家现场技术支持</w:t>
      </w:r>
      <w:r>
        <w:rPr>
          <w:rFonts w:hint="eastAsia" w:ascii="宋体" w:hAnsi="宋体"/>
          <w:lang w:eastAsia="zh-CN"/>
        </w:rPr>
        <w:t>，</w:t>
      </w:r>
      <w:r>
        <w:rPr>
          <w:rFonts w:hint="eastAsia" w:ascii="宋体" w:hAnsi="宋体"/>
        </w:rPr>
        <w:t>顺利、快速地从一个软件版本移植到另一个版本，减少最终用户的停机时间，核心业务系统（如医院HIS系统）业务停机时间不能超过30分钟</w:t>
      </w:r>
      <w:r>
        <w:rPr>
          <w:rFonts w:hint="eastAsia" w:ascii="宋体" w:hAnsi="宋体"/>
          <w:lang w:eastAsia="zh-CN"/>
        </w:rPr>
        <w:t>，</w:t>
      </w:r>
      <w:r>
        <w:rPr>
          <w:rFonts w:hint="eastAsia" w:ascii="宋体" w:hAnsi="宋体"/>
        </w:rPr>
        <w:t>快速的错误隔离和解决方案。</w:t>
      </w:r>
    </w:p>
    <w:p>
      <w:pPr>
        <w:spacing w:line="360" w:lineRule="auto"/>
        <w:ind w:firstLine="420" w:firstLineChars="200"/>
        <w:rPr>
          <w:rFonts w:ascii="宋体" w:hAnsi="宋体"/>
        </w:rPr>
      </w:pPr>
      <w:r>
        <w:rPr>
          <w:rFonts w:hint="eastAsia" w:ascii="宋体" w:hAnsi="宋体"/>
        </w:rPr>
        <w:t>提供的服务因升级请求的不同而不同，但都包括服务检查清单以及实际服务过程中积累的最好的经验。</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7</w:t>
      </w:r>
      <w:r>
        <w:rPr>
          <w:rFonts w:hint="eastAsia"/>
          <w:lang w:eastAsia="zh-CN"/>
        </w:rPr>
        <w:t>）</w:t>
      </w:r>
      <w:r>
        <w:rPr>
          <w:rFonts w:hint="eastAsia"/>
        </w:rPr>
        <w:t>Oracle数据备份服务</w:t>
      </w:r>
    </w:p>
    <w:p>
      <w:pPr>
        <w:spacing w:line="360" w:lineRule="auto"/>
        <w:ind w:firstLine="420" w:firstLineChars="200"/>
        <w:rPr>
          <w:rFonts w:ascii="宋体" w:hAnsi="宋体"/>
        </w:rPr>
      </w:pPr>
      <w:r>
        <w:rPr>
          <w:rFonts w:hint="eastAsia" w:ascii="宋体" w:hAnsi="宋体"/>
        </w:rPr>
        <w:t xml:space="preserve">根据所制订的备份策略，提供现场备份，并定期检查备份的完整性及可用性。 </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8</w:t>
      </w:r>
      <w:r>
        <w:rPr>
          <w:rFonts w:hint="eastAsia"/>
          <w:lang w:eastAsia="zh-CN"/>
        </w:rPr>
        <w:t>）</w:t>
      </w:r>
      <w:r>
        <w:rPr>
          <w:rFonts w:hint="eastAsia"/>
        </w:rPr>
        <w:t>Oracle性能调整</w:t>
      </w:r>
    </w:p>
    <w:p>
      <w:pPr>
        <w:spacing w:line="360" w:lineRule="auto"/>
        <w:ind w:firstLine="420" w:firstLineChars="200"/>
        <w:rPr>
          <w:rFonts w:ascii="宋体" w:hAnsi="宋体"/>
        </w:rPr>
      </w:pPr>
      <w:r>
        <w:rPr>
          <w:rFonts w:hint="eastAsia" w:ascii="宋体" w:hAnsi="宋体"/>
        </w:rPr>
        <w:t>随着用户应用系统投入使用时间加长，ＯＲＡＣＬＥ数据库将会由于数据量的增加或用户数量的增加或应用的修改而导致数据库的性能降低。需要为用户提供完整的性能调整报告和解决方法</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9</w:t>
      </w:r>
      <w:r>
        <w:rPr>
          <w:rFonts w:hint="eastAsia"/>
          <w:lang w:eastAsia="zh-CN"/>
        </w:rPr>
        <w:t>）</w:t>
      </w:r>
      <w:r>
        <w:rPr>
          <w:rFonts w:hint="eastAsia"/>
        </w:rPr>
        <w:t>Oracle巡检及驻厂服务</w:t>
      </w:r>
    </w:p>
    <w:p>
      <w:pPr>
        <w:spacing w:line="360" w:lineRule="auto"/>
        <w:ind w:firstLine="420" w:firstLineChars="200"/>
        <w:rPr>
          <w:rFonts w:ascii="宋体" w:hAnsi="宋体"/>
        </w:rPr>
      </w:pPr>
      <w:r>
        <w:rPr>
          <w:rFonts w:hint="eastAsia" w:ascii="宋体" w:hAnsi="宋体"/>
        </w:rPr>
        <w:t>安排工程师定期到用户现场，对数据库进行检查，检查的内容包括：数据库运行状态、运行效率是否存在安全隐患、备份方式是否合理、备份数据是否可恢复。巡检工作结束后，提交用户《系统巡检报告》，对错误进行分析，提出解决方案及预防措施。</w:t>
      </w:r>
    </w:p>
    <w:p>
      <w:pPr>
        <w:spacing w:line="360" w:lineRule="auto"/>
        <w:rPr>
          <w:rFonts w:ascii="宋体" w:hAnsi="宋体"/>
        </w:rPr>
      </w:pPr>
      <w:r>
        <w:rPr>
          <w:rFonts w:hint="eastAsia" w:ascii="宋体" w:hAnsi="宋体"/>
        </w:rPr>
        <w:t>提供每月不少于1天，一年内不少于15天的现场高级工程师技术支持驻厂服务，驻厂服务工程师须具备IBM AIX系统管理、Oracle OC</w:t>
      </w:r>
      <w:r>
        <w:rPr>
          <w:rFonts w:ascii="宋体" w:hAnsi="宋体"/>
        </w:rPr>
        <w:t>M</w:t>
      </w:r>
      <w:r>
        <w:rPr>
          <w:rFonts w:hint="eastAsia" w:ascii="宋体" w:hAnsi="宋体"/>
        </w:rPr>
        <w:t>及以上双料技术资格认证。</w:t>
      </w:r>
    </w:p>
    <w:p>
      <w:pPr>
        <w:widowControl/>
        <w:numPr>
          <w:ilvl w:val="0"/>
          <w:numId w:val="0"/>
        </w:numPr>
        <w:spacing w:line="360" w:lineRule="auto"/>
        <w:ind w:firstLine="420" w:firstLineChars="200"/>
        <w:jc w:val="left"/>
      </w:pPr>
      <w:r>
        <w:rPr>
          <w:rFonts w:hint="eastAsia"/>
          <w:lang w:eastAsia="zh-CN"/>
        </w:rPr>
        <w:t>（</w:t>
      </w:r>
      <w:r>
        <w:rPr>
          <w:rFonts w:hint="eastAsia"/>
          <w:lang w:val="en-US" w:eastAsia="zh-CN"/>
        </w:rPr>
        <w:t>10</w:t>
      </w:r>
      <w:r>
        <w:rPr>
          <w:rFonts w:hint="eastAsia"/>
          <w:lang w:eastAsia="zh-CN"/>
        </w:rPr>
        <w:t>）</w:t>
      </w:r>
      <w:r>
        <w:rPr>
          <w:rFonts w:hint="eastAsia"/>
        </w:rPr>
        <w:t>特殊时期的现场支持服务</w:t>
      </w:r>
    </w:p>
    <w:p>
      <w:pPr>
        <w:spacing w:line="360" w:lineRule="auto"/>
        <w:ind w:firstLine="420" w:firstLineChars="200"/>
        <w:rPr>
          <w:rFonts w:ascii="宋体" w:hAnsi="宋体"/>
          <w:color w:val="000000"/>
        </w:rPr>
      </w:pPr>
      <w:r>
        <w:rPr>
          <w:rFonts w:hint="eastAsia" w:ascii="宋体" w:hAnsi="宋体"/>
          <w:color w:val="000000"/>
        </w:rPr>
        <w:t>由于本次维护期内，涉及到灾备系统的建立，中标单位需由ORACLE资深技术工程师为客户提供专门的事前隐患检查和现场保障支持服务，在重要时间内不出现严重的故障。中标单位需要协助</w:t>
      </w:r>
      <w:r>
        <w:rPr>
          <w:rFonts w:hint="eastAsia" w:ascii="宋体" w:hAnsi="宋体"/>
        </w:rPr>
        <w:t>客户进行DATA GUARD的布署，在实</w:t>
      </w:r>
      <w:r>
        <w:rPr>
          <w:rFonts w:hint="eastAsia" w:ascii="宋体" w:hAnsi="宋体"/>
          <w:color w:val="000000"/>
        </w:rPr>
        <w:t>施前进行可行性分析及多次测试运行，保障灾备系统实施后整个系统正常运行。</w:t>
      </w:r>
    </w:p>
    <w:p>
      <w:pPr>
        <w:pStyle w:val="14"/>
        <w:spacing w:line="360" w:lineRule="auto"/>
        <w:ind w:left="360" w:firstLine="0" w:firstLineChars="0"/>
        <w:rPr>
          <w:color w:val="000000"/>
        </w:rPr>
      </w:pPr>
    </w:p>
    <w:p/>
    <w:p>
      <w:pPr>
        <w:pStyle w:val="2"/>
      </w:pPr>
    </w:p>
    <w:p/>
    <w:p>
      <w:pPr>
        <w:pStyle w:val="2"/>
      </w:pPr>
    </w:p>
    <w:p>
      <w:pPr>
        <w:rPr>
          <w:rFonts w:hint="eastAsia"/>
          <w:b/>
          <w:bCs/>
          <w:sz w:val="28"/>
          <w:szCs w:val="28"/>
          <w:lang w:val="en-US" w:eastAsia="zh-CN"/>
        </w:rPr>
      </w:pPr>
    </w:p>
    <w:p>
      <w:pPr>
        <w:rPr>
          <w:rFonts w:hint="default"/>
          <w:b/>
          <w:bCs/>
          <w:sz w:val="28"/>
          <w:szCs w:val="28"/>
          <w:lang w:val="en-US" w:eastAsia="zh-CN"/>
        </w:rPr>
      </w:pPr>
      <w:r>
        <w:rPr>
          <w:rFonts w:hint="eastAsia"/>
          <w:b/>
          <w:bCs/>
          <w:sz w:val="28"/>
          <w:szCs w:val="28"/>
          <w:lang w:val="en-US" w:eastAsia="zh-CN"/>
        </w:rPr>
        <w:t>五、附件</w:t>
      </w:r>
    </w:p>
    <w:p>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eastAsia" w:ascii="宋体" w:hAnsi="宋体" w:eastAsia="宋体" w:cs="宋体"/>
          <w:sz w:val="24"/>
          <w:szCs w:val="24"/>
        </w:rPr>
        <w:t>技术评分：</w:t>
      </w:r>
      <w:r>
        <w:rPr>
          <w:rFonts w:hint="eastAsia" w:ascii="宋体" w:hAnsi="宋体" w:eastAsia="宋体" w:cs="宋体"/>
          <w:sz w:val="24"/>
          <w:szCs w:val="24"/>
          <w:lang w:val="en-US" w:eastAsia="zh-CN"/>
        </w:rPr>
        <w:t>满分6</w:t>
      </w:r>
      <w:r>
        <w:rPr>
          <w:rFonts w:hint="eastAsia" w:ascii="宋体" w:hAnsi="宋体" w:eastAsia="宋体" w:cs="宋体"/>
          <w:sz w:val="24"/>
          <w:szCs w:val="24"/>
        </w:rPr>
        <w:t>0分</w:t>
      </w:r>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6"/>
        <w:gridCol w:w="1376"/>
        <w:gridCol w:w="745"/>
        <w:gridCol w:w="5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5"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序号</w:t>
            </w:r>
          </w:p>
        </w:tc>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评分内容</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分值</w:t>
            </w:r>
          </w:p>
        </w:tc>
        <w:tc>
          <w:tcPr>
            <w:tcW w:w="5678" w:type="dxa"/>
            <w:tcBorders>
              <w:top w:val="single" w:color="auto" w:sz="4" w:space="0"/>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0" w:hRule="atLeast"/>
          <w:jc w:val="center"/>
        </w:trPr>
        <w:tc>
          <w:tcPr>
            <w:tcW w:w="706" w:type="dxa"/>
            <w:vMerge w:val="restart"/>
            <w:tcBorders>
              <w:top w:val="single" w:color="auto" w:sz="4" w:space="0"/>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1</w:t>
            </w:r>
          </w:p>
        </w:tc>
        <w:tc>
          <w:tcPr>
            <w:tcW w:w="1376" w:type="dxa"/>
            <w:vMerge w:val="restart"/>
            <w:tcBorders>
              <w:top w:val="single" w:color="auto" w:sz="4" w:space="0"/>
              <w:left w:val="single" w:color="auto" w:sz="4" w:space="0"/>
              <w:right w:val="single" w:color="auto" w:sz="4" w:space="0"/>
            </w:tcBorders>
            <w:shd w:val="clear" w:color="auto" w:fill="FFFFFF"/>
            <w:noWrap/>
            <w:vAlign w:val="center"/>
          </w:tcPr>
          <w:p>
            <w:pPr>
              <w:spacing w:line="460" w:lineRule="exact"/>
              <w:ind w:left="-50"/>
              <w:rPr>
                <w:rFonts w:ascii="新宋体" w:hAnsi="新宋体" w:eastAsia="新宋体" w:cs="新宋体"/>
                <w:szCs w:val="21"/>
              </w:rPr>
            </w:pPr>
            <w:r>
              <w:rPr>
                <w:rFonts w:hint="eastAsia" w:ascii="新宋体" w:hAnsi="新宋体" w:eastAsia="新宋体" w:cs="新宋体"/>
                <w:szCs w:val="21"/>
              </w:rPr>
              <w:t>投标人情况</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jc w:val="center"/>
              <w:rPr>
                <w:rFonts w:ascii="新宋体" w:hAnsi="新宋体" w:eastAsia="新宋体" w:cs="新宋体"/>
                <w:szCs w:val="21"/>
              </w:rPr>
            </w:pPr>
            <w:r>
              <w:rPr>
                <w:rFonts w:eastAsia="新宋体"/>
                <w:kern w:val="0"/>
                <w:szCs w:val="21"/>
              </w:rPr>
              <w:t>0-</w:t>
            </w:r>
            <w:r>
              <w:rPr>
                <w:rFonts w:hint="eastAsia" w:ascii="新宋体" w:hAnsi="新宋体" w:eastAsia="新宋体" w:cs="新宋体"/>
                <w:szCs w:val="21"/>
              </w:rPr>
              <w:t>2</w:t>
            </w:r>
          </w:p>
        </w:tc>
        <w:tc>
          <w:tcPr>
            <w:tcW w:w="56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rPr>
                <w:rFonts w:hint="eastAsia" w:ascii="新宋体" w:hAnsi="新宋体" w:eastAsia="新宋体" w:cs="新宋体"/>
                <w:szCs w:val="21"/>
              </w:rPr>
            </w:pPr>
            <w:r>
              <w:rPr>
                <w:rFonts w:hint="eastAsia" w:ascii="新宋体" w:hAnsi="新宋体" w:eastAsia="新宋体" w:cs="新宋体"/>
                <w:szCs w:val="21"/>
              </w:rPr>
              <w:t>根据投标人注册资金、人员规模等综合情况，比较打分。</w:t>
            </w:r>
          </w:p>
          <w:p>
            <w:pPr>
              <w:spacing w:line="460" w:lineRule="exact"/>
              <w:rPr>
                <w:rFonts w:hint="eastAsia" w:ascii="新宋体" w:hAnsi="新宋体" w:eastAsia="新宋体" w:cs="新宋体"/>
                <w:szCs w:val="21"/>
                <w:lang w:val="en-US" w:eastAsia="zh-CN"/>
              </w:rPr>
            </w:pPr>
            <w:r>
              <w:rPr>
                <w:rFonts w:hint="eastAsia" w:ascii="新宋体" w:hAnsi="新宋体" w:eastAsia="新宋体" w:cs="新宋体"/>
                <w:szCs w:val="21"/>
              </w:rPr>
              <w:t>A档</w:t>
            </w:r>
            <w:r>
              <w:rPr>
                <w:rFonts w:hint="eastAsia" w:ascii="新宋体" w:hAnsi="新宋体" w:eastAsia="新宋体" w:cs="新宋体"/>
                <w:szCs w:val="21"/>
                <w:lang w:eastAsia="zh-CN"/>
              </w:rPr>
              <w:t>：</w:t>
            </w:r>
            <w:r>
              <w:rPr>
                <w:rFonts w:ascii="新宋体" w:hAnsi="新宋体" w:eastAsia="新宋体" w:cs="新宋体"/>
                <w:szCs w:val="21"/>
              </w:rPr>
              <w:t>2-</w:t>
            </w:r>
            <w:r>
              <w:rPr>
                <w:rFonts w:hint="eastAsia" w:ascii="新宋体" w:hAnsi="新宋体" w:eastAsia="新宋体" w:cs="新宋体"/>
                <w:szCs w:val="21"/>
              </w:rPr>
              <w:t>1.5</w:t>
            </w:r>
            <w:r>
              <w:rPr>
                <w:rFonts w:hint="eastAsia" w:ascii="新宋体" w:hAnsi="新宋体" w:eastAsia="新宋体" w:cs="新宋体"/>
                <w:szCs w:val="21"/>
                <w:lang w:val="en-US" w:eastAsia="zh-CN"/>
              </w:rPr>
              <w:t>分</w:t>
            </w:r>
            <w:r>
              <w:rPr>
                <w:rFonts w:hint="eastAsia" w:ascii="新宋体" w:hAnsi="新宋体" w:eastAsia="新宋体" w:cs="新宋体"/>
                <w:szCs w:val="21"/>
                <w:lang w:eastAsia="zh-CN"/>
              </w:rPr>
              <w:t>，</w:t>
            </w:r>
            <w:r>
              <w:rPr>
                <w:rFonts w:hint="eastAsia" w:ascii="新宋体" w:hAnsi="新宋体" w:eastAsia="新宋体" w:cs="新宋体"/>
                <w:szCs w:val="21"/>
              </w:rPr>
              <w:t>B档</w:t>
            </w:r>
            <w:r>
              <w:rPr>
                <w:rFonts w:hint="eastAsia" w:ascii="新宋体" w:hAnsi="新宋体" w:eastAsia="新宋体" w:cs="新宋体"/>
                <w:szCs w:val="21"/>
                <w:lang w:eastAsia="zh-CN"/>
              </w:rPr>
              <w:t>：</w:t>
            </w:r>
            <w:r>
              <w:rPr>
                <w:rFonts w:ascii="新宋体" w:hAnsi="新宋体" w:eastAsia="新宋体" w:cs="新宋体"/>
                <w:szCs w:val="21"/>
              </w:rPr>
              <w:t>1.5-</w:t>
            </w:r>
            <w:r>
              <w:rPr>
                <w:rFonts w:hint="eastAsia" w:ascii="新宋体" w:hAnsi="新宋体" w:eastAsia="新宋体" w:cs="新宋体"/>
                <w:szCs w:val="21"/>
              </w:rPr>
              <w:t>1</w:t>
            </w:r>
            <w:r>
              <w:rPr>
                <w:rFonts w:hint="eastAsia" w:ascii="新宋体" w:hAnsi="新宋体" w:eastAsia="新宋体" w:cs="新宋体"/>
                <w:szCs w:val="21"/>
                <w:lang w:val="en-US" w:eastAsia="zh-CN"/>
              </w:rPr>
              <w:t>分，</w:t>
            </w:r>
            <w:r>
              <w:rPr>
                <w:rFonts w:hint="eastAsia" w:ascii="新宋体" w:hAnsi="新宋体" w:eastAsia="新宋体" w:cs="新宋体"/>
                <w:szCs w:val="21"/>
              </w:rPr>
              <w:t>C档</w:t>
            </w:r>
            <w:r>
              <w:rPr>
                <w:rFonts w:hint="eastAsia" w:ascii="新宋体" w:hAnsi="新宋体" w:eastAsia="新宋体" w:cs="新宋体"/>
                <w:szCs w:val="21"/>
                <w:lang w:eastAsia="zh-CN"/>
              </w:rPr>
              <w:t>：</w:t>
            </w:r>
            <w:r>
              <w:rPr>
                <w:rFonts w:ascii="新宋体" w:hAnsi="新宋体" w:eastAsia="新宋体" w:cs="新宋体"/>
                <w:szCs w:val="21"/>
              </w:rPr>
              <w:t>1-0</w:t>
            </w:r>
            <w:r>
              <w:rPr>
                <w:rFonts w:hint="eastAsia" w:ascii="新宋体" w:hAnsi="新宋体" w:eastAsia="新宋体" w:cs="新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25" w:hRule="atLeast"/>
          <w:jc w:val="center"/>
        </w:trPr>
        <w:tc>
          <w:tcPr>
            <w:tcW w:w="706" w:type="dxa"/>
            <w:vMerge w:val="continue"/>
            <w:tcBorders>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p>
        </w:tc>
        <w:tc>
          <w:tcPr>
            <w:tcW w:w="1376" w:type="dxa"/>
            <w:vMerge w:val="continue"/>
            <w:tcBorders>
              <w:left w:val="single" w:color="auto" w:sz="4" w:space="0"/>
              <w:right w:val="single" w:color="auto" w:sz="4" w:space="0"/>
            </w:tcBorders>
            <w:shd w:val="clear" w:color="auto" w:fill="FFFFFF"/>
            <w:noWrap/>
            <w:vAlign w:val="center"/>
          </w:tcPr>
          <w:p>
            <w:pPr>
              <w:spacing w:line="460" w:lineRule="exact"/>
              <w:ind w:left="-50"/>
              <w:rPr>
                <w:rFonts w:ascii="新宋体" w:hAnsi="新宋体" w:eastAsia="新宋体" w:cs="新宋体"/>
                <w:szCs w:val="21"/>
              </w:rPr>
            </w:pP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jc w:val="center"/>
              <w:rPr>
                <w:rFonts w:ascii="新宋体" w:hAnsi="新宋体" w:eastAsia="新宋体" w:cs="新宋体"/>
                <w:szCs w:val="21"/>
              </w:rPr>
            </w:pPr>
            <w:r>
              <w:rPr>
                <w:rFonts w:eastAsia="新宋体"/>
                <w:kern w:val="0"/>
                <w:szCs w:val="21"/>
              </w:rPr>
              <w:t>0-</w:t>
            </w:r>
            <w:r>
              <w:rPr>
                <w:rFonts w:ascii="新宋体" w:hAnsi="新宋体" w:eastAsia="新宋体" w:cs="新宋体"/>
                <w:szCs w:val="21"/>
              </w:rPr>
              <w:t>16</w:t>
            </w:r>
          </w:p>
        </w:tc>
        <w:tc>
          <w:tcPr>
            <w:tcW w:w="5678" w:type="dxa"/>
            <w:tcBorders>
              <w:top w:val="single" w:color="auto" w:sz="4" w:space="0"/>
              <w:left w:val="single" w:color="auto" w:sz="4" w:space="0"/>
              <w:right w:val="single" w:color="auto" w:sz="4" w:space="0"/>
            </w:tcBorders>
            <w:shd w:val="clear" w:color="auto" w:fill="FFFFFF"/>
            <w:noWrap/>
            <w:vAlign w:val="center"/>
          </w:tcPr>
          <w:p>
            <w:pPr>
              <w:spacing w:line="460" w:lineRule="exact"/>
              <w:rPr>
                <w:sz w:val="18"/>
                <w:szCs w:val="18"/>
              </w:rPr>
            </w:pPr>
            <w:r>
              <w:rPr>
                <w:rFonts w:hint="eastAsia"/>
                <w:sz w:val="18"/>
                <w:szCs w:val="18"/>
              </w:rPr>
              <w:t>1、具有软件企业认证证书得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2、具有CMMI三级及以上（软件能力成熟度集成模型）证书得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3、具有守合同重信用AAA级</w:t>
            </w:r>
            <w:r>
              <w:rPr>
                <w:rFonts w:hint="eastAsia"/>
                <w:sz w:val="18"/>
                <w:szCs w:val="18"/>
                <w:lang w:val="en-US" w:eastAsia="zh-CN"/>
              </w:rPr>
              <w:t>及</w:t>
            </w:r>
            <w:r>
              <w:rPr>
                <w:rFonts w:hint="eastAsia"/>
                <w:sz w:val="18"/>
                <w:szCs w:val="18"/>
              </w:rPr>
              <w:t>以上得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4、具有安全集成资质证书三级</w:t>
            </w:r>
            <w:r>
              <w:rPr>
                <w:rFonts w:hint="eastAsia"/>
                <w:sz w:val="18"/>
                <w:szCs w:val="18"/>
                <w:lang w:val="en-US" w:eastAsia="zh-CN"/>
              </w:rPr>
              <w:t>及</w:t>
            </w:r>
            <w:r>
              <w:rPr>
                <w:rFonts w:hint="eastAsia"/>
                <w:sz w:val="18"/>
                <w:szCs w:val="18"/>
              </w:rPr>
              <w:t>以上得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5、具有计算机的软件开发及系统集成售后服务五星级认证证书得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6、具有涉密信息系统集成资质乙级</w:t>
            </w:r>
            <w:r>
              <w:rPr>
                <w:rFonts w:hint="eastAsia"/>
                <w:sz w:val="18"/>
                <w:szCs w:val="18"/>
                <w:lang w:val="en-US" w:eastAsia="zh-CN"/>
              </w:rPr>
              <w:t>及以上</w:t>
            </w:r>
            <w:r>
              <w:rPr>
                <w:rFonts w:hint="eastAsia"/>
                <w:sz w:val="18"/>
                <w:szCs w:val="18"/>
              </w:rPr>
              <w:t>得</w:t>
            </w:r>
            <w:r>
              <w:rPr>
                <w:sz w:val="18"/>
                <w:szCs w:val="18"/>
              </w:rPr>
              <w:t>2</w:t>
            </w:r>
            <w:r>
              <w:rPr>
                <w:rFonts w:hint="eastAsia"/>
                <w:sz w:val="18"/>
                <w:szCs w:val="18"/>
              </w:rPr>
              <w:t>分，没有不得分；</w:t>
            </w:r>
          </w:p>
          <w:p>
            <w:pPr>
              <w:spacing w:line="460" w:lineRule="exact"/>
              <w:rPr>
                <w:sz w:val="18"/>
                <w:szCs w:val="18"/>
              </w:rPr>
            </w:pPr>
            <w:r>
              <w:rPr>
                <w:rFonts w:hint="eastAsia"/>
                <w:sz w:val="18"/>
                <w:szCs w:val="18"/>
              </w:rPr>
              <w:t>7、具有高新技术企业认证得</w:t>
            </w:r>
            <w:r>
              <w:rPr>
                <w:sz w:val="18"/>
                <w:szCs w:val="18"/>
              </w:rPr>
              <w:t>2</w:t>
            </w:r>
            <w:r>
              <w:rPr>
                <w:rFonts w:hint="eastAsia"/>
                <w:sz w:val="18"/>
                <w:szCs w:val="18"/>
              </w:rPr>
              <w:t>分，没有不得分；</w:t>
            </w:r>
          </w:p>
          <w:p>
            <w:pPr>
              <w:spacing w:line="460" w:lineRule="exact"/>
              <w:rPr>
                <w:rFonts w:hint="eastAsia"/>
                <w:sz w:val="18"/>
                <w:szCs w:val="18"/>
              </w:rPr>
            </w:pPr>
            <w:r>
              <w:rPr>
                <w:rFonts w:hint="eastAsia"/>
                <w:sz w:val="18"/>
                <w:szCs w:val="18"/>
              </w:rPr>
              <w:t>8、具有ISO9001质量体系认证得</w:t>
            </w:r>
            <w:r>
              <w:rPr>
                <w:sz w:val="18"/>
                <w:szCs w:val="18"/>
              </w:rPr>
              <w:t>2</w:t>
            </w:r>
            <w:r>
              <w:rPr>
                <w:rFonts w:hint="eastAsia"/>
                <w:sz w:val="18"/>
                <w:szCs w:val="18"/>
              </w:rPr>
              <w:t>分，没有不得分。</w:t>
            </w:r>
          </w:p>
          <w:p>
            <w:pPr>
              <w:rPr>
                <w:rFonts w:hint="eastAsia"/>
                <w:lang w:eastAsia="zh-CN"/>
              </w:rPr>
            </w:pPr>
            <w:r>
              <w:rPr>
                <w:rFonts w:hint="eastAsia"/>
                <w:sz w:val="18"/>
                <w:szCs w:val="18"/>
                <w:lang w:eastAsia="zh-CN"/>
              </w:rPr>
              <w:t>（</w:t>
            </w:r>
            <w:r>
              <w:rPr>
                <w:rFonts w:hint="eastAsia"/>
                <w:sz w:val="18"/>
                <w:szCs w:val="18"/>
                <w:lang w:val="en-US" w:eastAsia="zh-CN"/>
              </w:rPr>
              <w:t>以上需要提供相关证书复印件并加盖单位公章，否则不得分</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3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szCs w:val="21"/>
              </w:rPr>
              <w:t>2</w:t>
            </w:r>
          </w:p>
        </w:tc>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ascii="新宋体" w:hAnsi="新宋体" w:eastAsia="新宋体" w:cs="新宋体"/>
                <w:szCs w:val="21"/>
              </w:rPr>
              <w:t>项目实施能力</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snapToGrid w:val="0"/>
              <w:spacing w:line="460" w:lineRule="exact"/>
              <w:jc w:val="center"/>
              <w:rPr>
                <w:rFonts w:ascii="新宋体" w:hAnsi="新宋体" w:eastAsia="新宋体" w:cs="新宋体"/>
                <w:b/>
              </w:rPr>
            </w:pPr>
            <w:r>
              <w:rPr>
                <w:rFonts w:eastAsia="新宋体"/>
              </w:rPr>
              <w:t>0-</w:t>
            </w:r>
            <w:r>
              <w:rPr>
                <w:rFonts w:hint="eastAsia" w:ascii="新宋体" w:hAnsi="新宋体" w:eastAsia="新宋体" w:cs="新宋体"/>
              </w:rPr>
              <w:t>1</w:t>
            </w:r>
            <w:r>
              <w:rPr>
                <w:rFonts w:ascii="新宋体" w:hAnsi="新宋体" w:eastAsia="新宋体" w:cs="新宋体"/>
              </w:rPr>
              <w:t>5</w:t>
            </w:r>
          </w:p>
        </w:tc>
        <w:tc>
          <w:tcPr>
            <w:tcW w:w="56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1</w:t>
            </w:r>
            <w:r>
              <w:rPr>
                <w:rFonts w:hint="eastAsia" w:ascii="新宋体" w:hAnsi="新宋体" w:eastAsia="新宋体" w:cs="新宋体"/>
                <w:sz w:val="18"/>
                <w:szCs w:val="18"/>
              </w:rPr>
              <w:t>、项目组成员具有OCM认证的</w:t>
            </w:r>
            <w:r>
              <w:rPr>
                <w:rFonts w:hint="eastAsia" w:ascii="新宋体" w:hAnsi="新宋体" w:eastAsia="新宋体" w:cs="新宋体"/>
                <w:sz w:val="18"/>
                <w:szCs w:val="18"/>
              </w:rPr>
              <w:t>每人</w:t>
            </w:r>
            <w:r>
              <w:rPr>
                <w:rFonts w:hint="eastAsia" w:ascii="新宋体" w:hAnsi="新宋体" w:eastAsia="新宋体" w:cs="新宋体"/>
                <w:sz w:val="18"/>
                <w:szCs w:val="18"/>
              </w:rPr>
              <w:t>得2分；最多得2分；</w:t>
            </w:r>
          </w:p>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2</w:t>
            </w:r>
            <w:r>
              <w:rPr>
                <w:rFonts w:hint="eastAsia" w:ascii="新宋体" w:hAnsi="新宋体" w:eastAsia="新宋体" w:cs="新宋体"/>
                <w:sz w:val="18"/>
                <w:szCs w:val="18"/>
              </w:rPr>
              <w:t>、项目组成员具有OCP认证的</w:t>
            </w:r>
            <w:r>
              <w:rPr>
                <w:rFonts w:hint="eastAsia" w:ascii="新宋体" w:hAnsi="新宋体" w:eastAsia="新宋体" w:cs="新宋体"/>
                <w:sz w:val="18"/>
                <w:szCs w:val="18"/>
              </w:rPr>
              <w:t>每人</w:t>
            </w:r>
            <w:r>
              <w:rPr>
                <w:rFonts w:hint="eastAsia" w:ascii="新宋体" w:hAnsi="新宋体" w:eastAsia="新宋体" w:cs="新宋体"/>
                <w:sz w:val="18"/>
                <w:szCs w:val="18"/>
              </w:rPr>
              <w:t>得1分；最多得</w:t>
            </w:r>
            <w:r>
              <w:rPr>
                <w:rFonts w:ascii="新宋体" w:hAnsi="新宋体" w:eastAsia="新宋体" w:cs="新宋体"/>
                <w:sz w:val="18"/>
                <w:szCs w:val="18"/>
              </w:rPr>
              <w:t>2</w:t>
            </w:r>
            <w:r>
              <w:rPr>
                <w:rFonts w:hint="eastAsia" w:ascii="新宋体" w:hAnsi="新宋体" w:eastAsia="新宋体" w:cs="新宋体"/>
                <w:sz w:val="18"/>
                <w:szCs w:val="18"/>
              </w:rPr>
              <w:t>分；</w:t>
            </w:r>
          </w:p>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3</w:t>
            </w:r>
            <w:r>
              <w:rPr>
                <w:rFonts w:hint="eastAsia" w:ascii="新宋体" w:hAnsi="新宋体" w:eastAsia="新宋体" w:cs="新宋体"/>
                <w:sz w:val="18"/>
                <w:szCs w:val="18"/>
              </w:rPr>
              <w:t>、项目组成员具有ITSS认证工程师证书的每人得</w:t>
            </w:r>
            <w:r>
              <w:rPr>
                <w:rFonts w:ascii="新宋体" w:hAnsi="新宋体" w:eastAsia="新宋体" w:cs="新宋体"/>
                <w:sz w:val="18"/>
                <w:szCs w:val="18"/>
              </w:rPr>
              <w:t>2</w:t>
            </w:r>
            <w:r>
              <w:rPr>
                <w:rFonts w:hint="eastAsia" w:ascii="新宋体" w:hAnsi="新宋体" w:eastAsia="新宋体" w:cs="新宋体"/>
                <w:sz w:val="18"/>
                <w:szCs w:val="18"/>
              </w:rPr>
              <w:t>分，</w:t>
            </w:r>
            <w:r>
              <w:rPr>
                <w:rFonts w:hint="eastAsia" w:ascii="新宋体" w:hAnsi="新宋体" w:eastAsia="新宋体" w:cs="新宋体"/>
                <w:sz w:val="18"/>
                <w:szCs w:val="18"/>
                <w:lang w:val="en-US" w:eastAsia="zh-CN"/>
              </w:rPr>
              <w:t>最多得</w:t>
            </w:r>
            <w:r>
              <w:rPr>
                <w:rFonts w:ascii="新宋体" w:hAnsi="新宋体" w:eastAsia="新宋体" w:cs="新宋体"/>
                <w:sz w:val="18"/>
                <w:szCs w:val="18"/>
              </w:rPr>
              <w:t>2</w:t>
            </w:r>
            <w:r>
              <w:rPr>
                <w:rFonts w:hint="eastAsia" w:ascii="新宋体" w:hAnsi="新宋体" w:eastAsia="新宋体" w:cs="新宋体"/>
                <w:sz w:val="18"/>
                <w:szCs w:val="18"/>
              </w:rPr>
              <w:t>分；</w:t>
            </w:r>
          </w:p>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4</w:t>
            </w:r>
            <w:r>
              <w:rPr>
                <w:rFonts w:hint="eastAsia" w:ascii="新宋体" w:hAnsi="新宋体" w:eastAsia="新宋体" w:cs="新宋体"/>
                <w:sz w:val="18"/>
                <w:szCs w:val="18"/>
              </w:rPr>
              <w:t>、项目组成员具有AIX认证工程师证书的</w:t>
            </w:r>
            <w:r>
              <w:rPr>
                <w:rFonts w:hint="eastAsia" w:ascii="新宋体" w:hAnsi="新宋体" w:eastAsia="新宋体" w:cs="新宋体"/>
                <w:sz w:val="18"/>
                <w:szCs w:val="18"/>
              </w:rPr>
              <w:t>每人</w:t>
            </w:r>
            <w:r>
              <w:rPr>
                <w:rFonts w:hint="eastAsia" w:ascii="新宋体" w:hAnsi="新宋体" w:eastAsia="新宋体" w:cs="新宋体"/>
                <w:sz w:val="18"/>
                <w:szCs w:val="18"/>
              </w:rPr>
              <w:t>得2分，最多得2分；</w:t>
            </w:r>
          </w:p>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5</w:t>
            </w:r>
            <w:r>
              <w:rPr>
                <w:rFonts w:hint="eastAsia" w:ascii="新宋体" w:hAnsi="新宋体" w:eastAsia="新宋体" w:cs="新宋体"/>
                <w:sz w:val="18"/>
                <w:szCs w:val="18"/>
              </w:rPr>
              <w:t>、项目组成员具有VCP认证证书的每人得</w:t>
            </w:r>
            <w:r>
              <w:rPr>
                <w:rFonts w:ascii="新宋体" w:hAnsi="新宋体" w:eastAsia="新宋体" w:cs="新宋体"/>
                <w:sz w:val="18"/>
                <w:szCs w:val="18"/>
              </w:rPr>
              <w:t>2</w:t>
            </w:r>
            <w:r>
              <w:rPr>
                <w:rFonts w:hint="eastAsia" w:ascii="新宋体" w:hAnsi="新宋体" w:eastAsia="新宋体" w:cs="新宋体"/>
                <w:sz w:val="18"/>
                <w:szCs w:val="18"/>
              </w:rPr>
              <w:t>分，最多得</w:t>
            </w:r>
            <w:r>
              <w:rPr>
                <w:rFonts w:ascii="新宋体" w:hAnsi="新宋体" w:eastAsia="新宋体" w:cs="新宋体"/>
                <w:sz w:val="18"/>
                <w:szCs w:val="18"/>
              </w:rPr>
              <w:t>2</w:t>
            </w:r>
            <w:r>
              <w:rPr>
                <w:rFonts w:hint="eastAsia" w:ascii="新宋体" w:hAnsi="新宋体" w:eastAsia="新宋体" w:cs="新宋体"/>
                <w:sz w:val="18"/>
                <w:szCs w:val="18"/>
              </w:rPr>
              <w:t>分；</w:t>
            </w:r>
          </w:p>
          <w:p>
            <w:pPr>
              <w:pStyle w:val="7"/>
              <w:tabs>
                <w:tab w:val="left" w:pos="425"/>
              </w:tabs>
              <w:snapToGrid w:val="0"/>
              <w:spacing w:line="460" w:lineRule="exact"/>
              <w:rPr>
                <w:rFonts w:ascii="新宋体" w:hAnsi="新宋体" w:eastAsia="新宋体" w:cs="新宋体"/>
                <w:b/>
                <w:sz w:val="18"/>
                <w:szCs w:val="18"/>
              </w:rPr>
            </w:pPr>
            <w:r>
              <w:rPr>
                <w:rFonts w:ascii="新宋体" w:hAnsi="新宋体" w:eastAsia="新宋体" w:cs="新宋体"/>
                <w:sz w:val="18"/>
                <w:szCs w:val="18"/>
              </w:rPr>
              <w:t>6</w:t>
            </w:r>
            <w:r>
              <w:rPr>
                <w:rFonts w:hint="eastAsia" w:ascii="新宋体" w:hAnsi="新宋体" w:eastAsia="新宋体" w:cs="新宋体"/>
                <w:sz w:val="18"/>
                <w:szCs w:val="18"/>
              </w:rPr>
              <w:t>、项目组成员具有CCIE/H3CIE</w:t>
            </w:r>
            <w:r>
              <w:rPr>
                <w:rFonts w:ascii="新宋体" w:hAnsi="新宋体" w:eastAsia="新宋体" w:cs="新宋体"/>
                <w:sz w:val="18"/>
                <w:szCs w:val="18"/>
              </w:rPr>
              <w:t>/</w:t>
            </w:r>
            <w:r>
              <w:rPr>
                <w:rFonts w:hint="eastAsia" w:ascii="新宋体" w:hAnsi="新宋体" w:eastAsia="新宋体" w:cs="新宋体"/>
                <w:sz w:val="18"/>
                <w:szCs w:val="18"/>
              </w:rPr>
              <w:t>H</w:t>
            </w:r>
            <w:r>
              <w:rPr>
                <w:rFonts w:ascii="新宋体" w:hAnsi="新宋体" w:eastAsia="新宋体" w:cs="新宋体"/>
                <w:sz w:val="18"/>
                <w:szCs w:val="18"/>
              </w:rPr>
              <w:t>CIE</w:t>
            </w:r>
            <w:r>
              <w:rPr>
                <w:rFonts w:hint="eastAsia" w:ascii="新宋体" w:hAnsi="新宋体" w:eastAsia="新宋体" w:cs="新宋体"/>
                <w:sz w:val="18"/>
                <w:szCs w:val="18"/>
              </w:rPr>
              <w:t>认证的每人得</w:t>
            </w:r>
            <w:r>
              <w:rPr>
                <w:rFonts w:ascii="新宋体" w:hAnsi="新宋体" w:eastAsia="新宋体" w:cs="新宋体"/>
                <w:sz w:val="18"/>
                <w:szCs w:val="18"/>
              </w:rPr>
              <w:t>2</w:t>
            </w:r>
            <w:r>
              <w:rPr>
                <w:rFonts w:hint="eastAsia" w:ascii="新宋体" w:hAnsi="新宋体" w:eastAsia="新宋体" w:cs="新宋体"/>
                <w:sz w:val="18"/>
                <w:szCs w:val="18"/>
              </w:rPr>
              <w:t>分，最多得2分；</w:t>
            </w:r>
          </w:p>
          <w:p>
            <w:pPr>
              <w:pStyle w:val="7"/>
              <w:tabs>
                <w:tab w:val="left" w:pos="425"/>
              </w:tabs>
              <w:snapToGrid w:val="0"/>
              <w:spacing w:line="460" w:lineRule="exact"/>
              <w:rPr>
                <w:rFonts w:ascii="新宋体" w:hAnsi="新宋体" w:eastAsia="新宋体" w:cs="新宋体"/>
                <w:sz w:val="18"/>
                <w:szCs w:val="18"/>
              </w:rPr>
            </w:pPr>
            <w:r>
              <w:rPr>
                <w:rFonts w:ascii="新宋体" w:hAnsi="新宋体" w:eastAsia="新宋体" w:cs="新宋体"/>
                <w:sz w:val="18"/>
                <w:szCs w:val="18"/>
              </w:rPr>
              <w:t>7</w:t>
            </w:r>
            <w:r>
              <w:rPr>
                <w:rFonts w:hint="eastAsia" w:ascii="新宋体" w:hAnsi="新宋体" w:eastAsia="新宋体" w:cs="新宋体"/>
                <w:sz w:val="18"/>
                <w:szCs w:val="18"/>
              </w:rPr>
              <w:t>、项目组成员具有微服务架构认证的每人得1分，最多得1分；</w:t>
            </w:r>
          </w:p>
          <w:p>
            <w:pPr>
              <w:spacing w:line="320" w:lineRule="exact"/>
              <w:rPr>
                <w:rFonts w:hint="eastAsia" w:eastAsia="新宋体"/>
                <w:sz w:val="18"/>
                <w:szCs w:val="18"/>
                <w:lang w:eastAsia="zh-CN"/>
              </w:rPr>
            </w:pPr>
            <w:r>
              <w:rPr>
                <w:rFonts w:ascii="新宋体" w:hAnsi="新宋体" w:eastAsia="新宋体" w:cs="新宋体"/>
                <w:sz w:val="18"/>
                <w:szCs w:val="18"/>
              </w:rPr>
              <w:t>8</w:t>
            </w:r>
            <w:r>
              <w:rPr>
                <w:rFonts w:hint="eastAsia" w:ascii="新宋体" w:hAnsi="新宋体" w:eastAsia="新宋体" w:cs="新宋体"/>
                <w:sz w:val="18"/>
                <w:szCs w:val="18"/>
              </w:rPr>
              <w:t>、</w:t>
            </w:r>
            <w:r>
              <w:rPr>
                <w:rFonts w:hint="eastAsia" w:ascii="新宋体" w:hAnsi="新宋体" w:eastAsia="新宋体" w:cs="新宋体"/>
                <w:sz w:val="18"/>
                <w:szCs w:val="18"/>
              </w:rPr>
              <w:t>项目组成员</w:t>
            </w:r>
            <w:r>
              <w:rPr>
                <w:rFonts w:hint="eastAsia" w:ascii="新宋体" w:hAnsi="新宋体" w:eastAsia="新宋体" w:cs="新宋体"/>
                <w:sz w:val="18"/>
                <w:szCs w:val="18"/>
                <w:lang w:val="en-US" w:eastAsia="zh-CN"/>
              </w:rPr>
              <w:t>中具有</w:t>
            </w:r>
            <w:r>
              <w:rPr>
                <w:rFonts w:eastAsia="新宋体"/>
                <w:sz w:val="18"/>
                <w:szCs w:val="18"/>
              </w:rPr>
              <w:t>PMP</w:t>
            </w:r>
            <w:r>
              <w:rPr>
                <w:rFonts w:hint="eastAsia" w:eastAsia="新宋体"/>
                <w:sz w:val="18"/>
                <w:szCs w:val="18"/>
              </w:rPr>
              <w:t>认证工程师</w:t>
            </w:r>
            <w:r>
              <w:rPr>
                <w:rFonts w:hint="eastAsia" w:eastAsia="新宋体"/>
                <w:sz w:val="18"/>
                <w:szCs w:val="18"/>
                <w:lang w:val="en-US" w:eastAsia="zh-CN"/>
              </w:rPr>
              <w:t>的</w:t>
            </w:r>
            <w:r>
              <w:rPr>
                <w:rFonts w:hint="eastAsia" w:eastAsia="新宋体"/>
                <w:sz w:val="18"/>
                <w:szCs w:val="18"/>
              </w:rPr>
              <w:t>得</w:t>
            </w:r>
            <w:r>
              <w:rPr>
                <w:rFonts w:eastAsia="新宋体"/>
                <w:sz w:val="18"/>
                <w:szCs w:val="18"/>
              </w:rPr>
              <w:t>2</w:t>
            </w:r>
            <w:r>
              <w:rPr>
                <w:rFonts w:hint="eastAsia" w:eastAsia="新宋体"/>
                <w:sz w:val="18"/>
                <w:szCs w:val="18"/>
              </w:rPr>
              <w:t>分</w:t>
            </w:r>
            <w:r>
              <w:rPr>
                <w:rFonts w:hint="eastAsia" w:eastAsia="新宋体"/>
                <w:sz w:val="18"/>
                <w:szCs w:val="18"/>
                <w:lang w:eastAsia="zh-CN"/>
              </w:rPr>
              <w:t>。</w:t>
            </w:r>
          </w:p>
          <w:p>
            <w:pPr>
              <w:spacing w:line="460" w:lineRule="exact"/>
              <w:rPr>
                <w:rFonts w:ascii="新宋体" w:hAnsi="新宋体" w:eastAsia="新宋体" w:cs="新宋体"/>
                <w:sz w:val="18"/>
                <w:szCs w:val="18"/>
              </w:rPr>
            </w:pPr>
            <w:r>
              <w:rPr>
                <w:rFonts w:hint="eastAsia" w:ascii="新宋体" w:hAnsi="新宋体" w:eastAsia="新宋体" w:cs="新宋体"/>
                <w:sz w:val="18"/>
                <w:szCs w:val="18"/>
                <w:lang w:eastAsia="zh-CN"/>
              </w:rPr>
              <w:t>（</w:t>
            </w:r>
            <w:r>
              <w:rPr>
                <w:rFonts w:hint="eastAsia" w:ascii="新宋体" w:hAnsi="新宋体" w:eastAsia="新宋体" w:cs="新宋体"/>
                <w:sz w:val="18"/>
                <w:szCs w:val="18"/>
              </w:rPr>
              <w:t>须提供</w:t>
            </w:r>
            <w:r>
              <w:rPr>
                <w:rFonts w:hint="eastAsia" w:ascii="新宋体" w:hAnsi="新宋体" w:eastAsia="新宋体" w:cs="新宋体"/>
                <w:sz w:val="18"/>
                <w:szCs w:val="18"/>
                <w:lang w:val="en-US" w:eastAsia="zh-CN"/>
              </w:rPr>
              <w:t>相关项目组成员的</w:t>
            </w:r>
            <w:r>
              <w:rPr>
                <w:rFonts w:hint="eastAsia" w:ascii="新宋体" w:hAnsi="新宋体" w:eastAsia="新宋体" w:cs="新宋体"/>
                <w:sz w:val="18"/>
                <w:szCs w:val="18"/>
              </w:rPr>
              <w:t>劳动合同复印件、在供应商单位缴纳的社保证明（提供近6个月任意3个月的社保缴纳证明）</w:t>
            </w:r>
            <w:r>
              <w:rPr>
                <w:rFonts w:hint="eastAsia" w:ascii="新宋体" w:hAnsi="新宋体" w:eastAsia="新宋体" w:cs="新宋体"/>
                <w:sz w:val="18"/>
                <w:szCs w:val="18"/>
                <w:lang w:val="en-US" w:eastAsia="zh-CN"/>
              </w:rPr>
              <w:t>及相关证书复印件，所有佐证资料加盖单位公章，缺一不得分）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65"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bCs/>
                <w:sz w:val="22"/>
              </w:rPr>
              <w:t>3</w:t>
            </w:r>
          </w:p>
        </w:tc>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bCs/>
                <w:sz w:val="22"/>
              </w:rPr>
              <w:t>投标人</w:t>
            </w:r>
            <w:r>
              <w:rPr>
                <w:rFonts w:hint="eastAsia" w:ascii="新宋体" w:hAnsi="新宋体" w:eastAsia="新宋体" w:cs="新宋体"/>
                <w:bCs/>
                <w:sz w:val="22"/>
              </w:rPr>
              <w:t>业绩</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snapToGrid w:val="0"/>
              <w:spacing w:line="460" w:lineRule="exact"/>
              <w:jc w:val="center"/>
              <w:rPr>
                <w:rFonts w:hint="eastAsia" w:eastAsia="新宋体"/>
                <w:highlight w:val="none"/>
                <w:lang w:val="en-US" w:eastAsia="zh-CN"/>
              </w:rPr>
            </w:pPr>
            <w:r>
              <w:rPr>
                <w:rFonts w:ascii="新宋体" w:hAnsi="新宋体" w:eastAsia="新宋体" w:cs="新宋体"/>
                <w:bCs/>
                <w:color w:val="auto"/>
                <w:sz w:val="22"/>
                <w:highlight w:val="none"/>
              </w:rPr>
              <w:t>0-</w:t>
            </w:r>
            <w:r>
              <w:rPr>
                <w:rFonts w:hint="eastAsia" w:ascii="新宋体" w:hAnsi="新宋体" w:eastAsia="新宋体" w:cs="新宋体"/>
                <w:bCs/>
                <w:color w:val="auto"/>
                <w:sz w:val="22"/>
                <w:highlight w:val="none"/>
                <w:lang w:val="en-US" w:eastAsia="zh-CN"/>
              </w:rPr>
              <w:t>4</w:t>
            </w:r>
          </w:p>
        </w:tc>
        <w:tc>
          <w:tcPr>
            <w:tcW w:w="56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tabs>
                <w:tab w:val="left" w:pos="425"/>
              </w:tabs>
              <w:snapToGrid w:val="0"/>
              <w:spacing w:line="460" w:lineRule="exact"/>
              <w:rPr>
                <w:rFonts w:ascii="新宋体" w:hAnsi="新宋体" w:eastAsia="新宋体" w:cs="新宋体"/>
                <w:highlight w:val="none"/>
              </w:rPr>
            </w:pPr>
            <w:r>
              <w:rPr>
                <w:rFonts w:hint="eastAsia" w:ascii="新宋体" w:hAnsi="新宋体" w:eastAsia="新宋体" w:cs="新宋体"/>
                <w:bCs/>
                <w:color w:val="auto"/>
                <w:sz w:val="22"/>
                <w:highlight w:val="none"/>
              </w:rPr>
              <w:t>201</w:t>
            </w:r>
            <w:r>
              <w:rPr>
                <w:rFonts w:hint="eastAsia" w:ascii="新宋体" w:hAnsi="新宋体" w:eastAsia="新宋体" w:cs="新宋体"/>
                <w:bCs/>
                <w:color w:val="auto"/>
                <w:sz w:val="22"/>
                <w:highlight w:val="none"/>
                <w:lang w:val="en-US" w:eastAsia="zh-CN"/>
              </w:rPr>
              <w:t>9</w:t>
            </w:r>
            <w:r>
              <w:rPr>
                <w:rFonts w:hint="eastAsia" w:ascii="新宋体" w:hAnsi="新宋体" w:eastAsia="新宋体" w:cs="新宋体"/>
                <w:bCs/>
                <w:sz w:val="22"/>
                <w:highlight w:val="none"/>
              </w:rPr>
              <w:t>年1月1日以来同类项目业绩，每个得1分，</w:t>
            </w:r>
            <w:r>
              <w:rPr>
                <w:rFonts w:hint="eastAsia" w:ascii="新宋体" w:hAnsi="新宋体" w:eastAsia="新宋体" w:cs="新宋体"/>
                <w:bCs/>
                <w:sz w:val="22"/>
                <w:highlight w:val="none"/>
                <w:lang w:val="en-US" w:eastAsia="zh-CN"/>
              </w:rPr>
              <w:t>最多得4</w:t>
            </w:r>
            <w:r>
              <w:rPr>
                <w:rFonts w:hint="eastAsia" w:ascii="新宋体" w:hAnsi="新宋体" w:eastAsia="新宋体" w:cs="新宋体"/>
                <w:bCs/>
                <w:sz w:val="22"/>
                <w:highlight w:val="none"/>
              </w:rPr>
              <w:t>分，需提供完整合同复印件并加盖投标人公章（投标时提供原件备查）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szCs w:val="21"/>
              </w:rPr>
              <w:t>4</w:t>
            </w:r>
          </w:p>
        </w:tc>
        <w:tc>
          <w:tcPr>
            <w:tcW w:w="1376" w:type="dxa"/>
            <w:tcBorders>
              <w:top w:val="single" w:color="auto" w:sz="4" w:space="0"/>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color w:val="000000"/>
                <w:szCs w:val="21"/>
              </w:rPr>
              <w:t>整体维保方案</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snapToGrid w:val="0"/>
              <w:spacing w:line="460" w:lineRule="exact"/>
              <w:jc w:val="center"/>
              <w:rPr>
                <w:rFonts w:ascii="新宋体" w:hAnsi="新宋体" w:eastAsia="新宋体" w:cs="新宋体"/>
              </w:rPr>
            </w:pPr>
            <w:r>
              <w:rPr>
                <w:rFonts w:eastAsia="新宋体"/>
              </w:rPr>
              <w:t>0-</w:t>
            </w:r>
            <w:r>
              <w:rPr>
                <w:color w:val="000000"/>
              </w:rPr>
              <w:t>15</w:t>
            </w:r>
          </w:p>
        </w:tc>
        <w:tc>
          <w:tcPr>
            <w:tcW w:w="5678" w:type="dxa"/>
            <w:tcBorders>
              <w:top w:val="single" w:color="auto" w:sz="4" w:space="0"/>
              <w:left w:val="single" w:color="auto" w:sz="4" w:space="0"/>
              <w:bottom w:val="single" w:color="auto" w:sz="4" w:space="0"/>
              <w:right w:val="single" w:color="auto" w:sz="4" w:space="0"/>
            </w:tcBorders>
            <w:shd w:val="clear" w:color="auto" w:fill="FFFFFF"/>
            <w:noWrap/>
          </w:tcPr>
          <w:p>
            <w:pPr>
              <w:adjustRightInd w:val="0"/>
              <w:spacing w:line="360" w:lineRule="auto"/>
              <w:rPr>
                <w:color w:val="000000"/>
                <w:szCs w:val="21"/>
              </w:rPr>
            </w:pPr>
            <w:r>
              <w:rPr>
                <w:rFonts w:hint="eastAsia" w:ascii="宋体" w:hAnsi="宋体" w:cs="宋体"/>
                <w:color w:val="000000"/>
                <w:spacing w:val="-2"/>
                <w:kern w:val="0"/>
                <w:szCs w:val="21"/>
              </w:rPr>
              <w:t>评委根据投标文件对医疗行业的熟悉程度、采购需求理解及满足程度酌情给分</w:t>
            </w:r>
            <w:r>
              <w:rPr>
                <w:rFonts w:hint="eastAsia" w:ascii="宋体" w:hAnsi="宋体" w:cs="宋体"/>
                <w:color w:val="000000"/>
                <w:spacing w:val="-2"/>
                <w:kern w:val="0"/>
                <w:szCs w:val="21"/>
                <w:lang w:eastAsia="zh-CN"/>
              </w:rPr>
              <w:t>。</w:t>
            </w:r>
            <w:r>
              <w:rPr>
                <w:rFonts w:hint="eastAsia" w:hAnsi="宋体" w:cs="宋体"/>
                <w:color w:val="000000"/>
                <w:spacing w:val="-2"/>
              </w:rPr>
              <w:t>对本项目提供的数据库软件维护服务方案酌情给分。</w:t>
            </w:r>
            <w:r>
              <w:rPr>
                <w:rFonts w:hint="eastAsia"/>
                <w:color w:val="000000"/>
                <w:szCs w:val="21"/>
              </w:rPr>
              <w:t>投标供应商是否建立运行服务保障应急预案，方案对系统实施可能遇到的问题及其应对措施的考虑情况，在维保服务期间巡检、故障处理、系统调优的组织和联系机制的合理性、有效性等，横向比较打分。</w:t>
            </w:r>
          </w:p>
          <w:p>
            <w:pPr>
              <w:pStyle w:val="7"/>
              <w:tabs>
                <w:tab w:val="left" w:pos="425"/>
              </w:tabs>
              <w:snapToGrid w:val="0"/>
              <w:spacing w:line="360" w:lineRule="auto"/>
              <w:rPr>
                <w:rFonts w:ascii="新宋体" w:hAnsi="新宋体" w:eastAsia="新宋体" w:cs="新宋体"/>
              </w:rPr>
            </w:pPr>
            <w:r>
              <w:rPr>
                <w:rFonts w:hint="eastAsia" w:hAnsi="宋体" w:cs="宋体"/>
                <w:color w:val="000000"/>
                <w:spacing w:val="-2"/>
              </w:rPr>
              <w:t>A档</w:t>
            </w:r>
            <w:r>
              <w:rPr>
                <w:rFonts w:hint="eastAsia" w:hAnsi="宋体" w:cs="宋体"/>
                <w:color w:val="000000"/>
                <w:spacing w:val="-2"/>
                <w:lang w:eastAsia="zh-CN"/>
              </w:rPr>
              <w:t>：</w:t>
            </w:r>
            <w:r>
              <w:rPr>
                <w:rFonts w:hAnsi="宋体" w:cs="宋体"/>
                <w:color w:val="000000"/>
                <w:spacing w:val="-2"/>
              </w:rPr>
              <w:t>15-10</w:t>
            </w:r>
            <w:r>
              <w:rPr>
                <w:rFonts w:hint="eastAsia" w:hAnsi="宋体" w:cs="宋体"/>
                <w:color w:val="000000"/>
                <w:spacing w:val="-2"/>
              </w:rPr>
              <w:t>分</w:t>
            </w:r>
            <w:r>
              <w:rPr>
                <w:rFonts w:hint="eastAsia" w:hAnsi="宋体" w:cs="宋体"/>
                <w:color w:val="000000"/>
                <w:spacing w:val="-2"/>
                <w:lang w:eastAsia="zh-CN"/>
              </w:rPr>
              <w:t>，</w:t>
            </w:r>
            <w:r>
              <w:rPr>
                <w:rFonts w:hint="eastAsia" w:hAnsi="宋体" w:cs="宋体"/>
                <w:color w:val="000000"/>
                <w:spacing w:val="-2"/>
                <w:lang w:val="en-US" w:eastAsia="zh-CN"/>
              </w:rPr>
              <w:t>B档：</w:t>
            </w:r>
            <w:r>
              <w:rPr>
                <w:rFonts w:hAnsi="宋体" w:cs="宋体"/>
                <w:color w:val="000000"/>
                <w:spacing w:val="-2"/>
              </w:rPr>
              <w:t>10-5</w:t>
            </w:r>
            <w:r>
              <w:rPr>
                <w:rFonts w:hint="eastAsia" w:hAnsi="宋体" w:cs="宋体"/>
                <w:color w:val="000000"/>
                <w:spacing w:val="-2"/>
              </w:rPr>
              <w:t>分</w:t>
            </w:r>
            <w:r>
              <w:rPr>
                <w:rFonts w:hint="eastAsia" w:hAnsi="宋体" w:cs="宋体"/>
                <w:color w:val="000000"/>
                <w:spacing w:val="-2"/>
                <w:lang w:eastAsia="zh-CN"/>
              </w:rPr>
              <w:t>，</w:t>
            </w:r>
            <w:r>
              <w:rPr>
                <w:rFonts w:hint="eastAsia" w:hAnsi="宋体" w:cs="宋体"/>
                <w:color w:val="000000"/>
                <w:spacing w:val="-2"/>
                <w:lang w:val="en-US" w:eastAsia="zh-CN"/>
              </w:rPr>
              <w:t>C档：</w:t>
            </w:r>
            <w:r>
              <w:rPr>
                <w:rFonts w:hAnsi="宋体" w:cs="宋体"/>
                <w:color w:val="000000"/>
                <w:spacing w:val="-2"/>
              </w:rPr>
              <w:t>5-0</w:t>
            </w:r>
            <w:r>
              <w:rPr>
                <w:rFonts w:hint="eastAsia" w:hAnsi="宋体" w:cs="宋体"/>
                <w:color w:val="000000"/>
                <w:spacing w:val="-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06" w:type="dxa"/>
            <w:tcBorders>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szCs w:val="21"/>
              </w:rPr>
              <w:t>5</w:t>
            </w:r>
          </w:p>
        </w:tc>
        <w:tc>
          <w:tcPr>
            <w:tcW w:w="1376" w:type="dxa"/>
            <w:tcBorders>
              <w:left w:val="single" w:color="auto" w:sz="4" w:space="0"/>
              <w:bottom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hint="eastAsia" w:eastAsia="新宋体"/>
                <w:szCs w:val="21"/>
              </w:rPr>
              <w:t>售后与本地化服务</w:t>
            </w:r>
          </w:p>
        </w:tc>
        <w:tc>
          <w:tcPr>
            <w:tcW w:w="7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7"/>
              <w:snapToGrid w:val="0"/>
              <w:spacing w:line="460" w:lineRule="exact"/>
              <w:jc w:val="center"/>
              <w:rPr>
                <w:color w:val="000000"/>
              </w:rPr>
            </w:pPr>
            <w:r>
              <w:rPr>
                <w:rFonts w:eastAsia="新宋体"/>
              </w:rPr>
              <w:t>0-6</w:t>
            </w:r>
          </w:p>
        </w:tc>
        <w:tc>
          <w:tcPr>
            <w:tcW w:w="5678" w:type="dxa"/>
            <w:tcBorders>
              <w:top w:val="single" w:color="auto" w:sz="4" w:space="0"/>
              <w:left w:val="single" w:color="auto" w:sz="4" w:space="0"/>
              <w:bottom w:val="single" w:color="auto" w:sz="4" w:space="0"/>
              <w:right w:val="single" w:color="auto" w:sz="4" w:space="0"/>
            </w:tcBorders>
            <w:shd w:val="clear" w:color="auto" w:fill="FFFFFF"/>
            <w:noWrap/>
          </w:tcPr>
          <w:p>
            <w:pPr>
              <w:pStyle w:val="7"/>
              <w:tabs>
                <w:tab w:val="left" w:pos="425"/>
              </w:tabs>
              <w:snapToGrid w:val="0"/>
              <w:spacing w:line="460" w:lineRule="exact"/>
              <w:rPr>
                <w:rFonts w:hAnsi="宋体" w:cs="宋体"/>
                <w:color w:val="000000"/>
                <w:spacing w:val="-2"/>
              </w:rPr>
            </w:pPr>
            <w:r>
              <w:rPr>
                <w:rFonts w:hint="eastAsia" w:eastAsia="新宋体"/>
              </w:rPr>
              <w:t>根据投标人注册地址</w:t>
            </w:r>
            <w:r>
              <w:rPr>
                <w:rFonts w:hint="eastAsia" w:eastAsia="新宋体"/>
                <w:lang w:eastAsia="zh-CN"/>
              </w:rPr>
              <w:t>（以注册工商营业执照为准）</w:t>
            </w:r>
            <w:r>
              <w:rPr>
                <w:rFonts w:hint="eastAsia" w:eastAsia="新宋体"/>
              </w:rPr>
              <w:t>，投标人是温州地区公司</w:t>
            </w:r>
            <w:r>
              <w:rPr>
                <w:rFonts w:hint="eastAsia" w:eastAsia="新宋体"/>
                <w:lang w:val="en-US" w:eastAsia="zh-CN"/>
              </w:rPr>
              <w:t>或在温州有办事处的，</w:t>
            </w:r>
            <w:r>
              <w:rPr>
                <w:rFonts w:hint="eastAsia" w:eastAsia="新宋体"/>
              </w:rPr>
              <w:t>得</w:t>
            </w:r>
            <w:r>
              <w:rPr>
                <w:rFonts w:hAnsi="宋体" w:cs="宋体"/>
                <w:color w:val="000000"/>
                <w:spacing w:val="-2"/>
              </w:rPr>
              <w:t>6</w:t>
            </w:r>
            <w:r>
              <w:rPr>
                <w:rFonts w:hint="eastAsia" w:eastAsia="新宋体"/>
              </w:rPr>
              <w:t>分</w:t>
            </w:r>
            <w:r>
              <w:rPr>
                <w:rFonts w:hint="eastAsia" w:eastAsia="新宋体"/>
                <w:lang w:eastAsia="zh-CN"/>
              </w:rPr>
              <w:t>；</w:t>
            </w:r>
            <w:r>
              <w:rPr>
                <w:rFonts w:hint="eastAsia" w:eastAsia="新宋体"/>
              </w:rPr>
              <w:t>浙江省内公司</w:t>
            </w:r>
            <w:r>
              <w:rPr>
                <w:rFonts w:hint="eastAsia" w:eastAsia="新宋体"/>
                <w:lang w:eastAsia="zh-CN"/>
              </w:rPr>
              <w:t>，</w:t>
            </w:r>
            <w:r>
              <w:rPr>
                <w:rFonts w:hint="eastAsia" w:eastAsia="新宋体"/>
              </w:rPr>
              <w:t>在温州</w:t>
            </w:r>
            <w:r>
              <w:rPr>
                <w:rFonts w:hint="eastAsia" w:eastAsia="新宋体"/>
                <w:lang w:val="en-US" w:eastAsia="zh-CN"/>
              </w:rPr>
              <w:t>地区</w:t>
            </w:r>
            <w:r>
              <w:rPr>
                <w:rFonts w:hint="eastAsia" w:eastAsia="新宋体"/>
              </w:rPr>
              <w:t>无办事处的得</w:t>
            </w:r>
            <w:r>
              <w:rPr>
                <w:rFonts w:hAnsi="宋体" w:cs="宋体"/>
                <w:color w:val="000000"/>
                <w:spacing w:val="-2"/>
              </w:rPr>
              <w:t>4</w:t>
            </w:r>
            <w:r>
              <w:rPr>
                <w:rFonts w:hint="eastAsia" w:eastAsia="新宋体"/>
              </w:rPr>
              <w:t>分；省外公司，</w:t>
            </w:r>
            <w:r>
              <w:rPr>
                <w:rFonts w:hint="eastAsia" w:eastAsia="新宋体"/>
                <w:lang w:val="en-US" w:eastAsia="zh-CN"/>
              </w:rPr>
              <w:t>在</w:t>
            </w:r>
            <w:r>
              <w:rPr>
                <w:rFonts w:hint="eastAsia" w:eastAsia="新宋体"/>
              </w:rPr>
              <w:t>温州</w:t>
            </w:r>
            <w:r>
              <w:rPr>
                <w:rFonts w:hint="eastAsia" w:eastAsia="新宋体"/>
                <w:lang w:val="en-US" w:eastAsia="zh-CN"/>
              </w:rPr>
              <w:t>地区</w:t>
            </w:r>
            <w:r>
              <w:rPr>
                <w:rFonts w:hint="eastAsia" w:eastAsia="新宋体"/>
              </w:rPr>
              <w:t>无办事处的得</w:t>
            </w:r>
            <w:r>
              <w:rPr>
                <w:rFonts w:hAnsi="宋体" w:cs="宋体"/>
                <w:color w:val="000000"/>
                <w:spacing w:val="-2"/>
              </w:rPr>
              <w:t>2</w:t>
            </w:r>
            <w:r>
              <w:rPr>
                <w:rFonts w:hint="eastAsia" w:eastAsia="新宋体"/>
              </w:rPr>
              <w:t>分；（必须提供</w:t>
            </w:r>
            <w:bookmarkStart w:id="20" w:name="_GoBack"/>
            <w:bookmarkEnd w:id="20"/>
            <w:r>
              <w:rPr>
                <w:rFonts w:hint="eastAsia" w:eastAsia="新宋体"/>
                <w:lang w:val="en-US" w:eastAsia="zh-CN"/>
              </w:rPr>
              <w:t>相关</w:t>
            </w:r>
            <w:r>
              <w:rPr>
                <w:rFonts w:hint="eastAsia" w:eastAsia="新宋体"/>
              </w:rPr>
              <w:t>机构</w:t>
            </w:r>
            <w:r>
              <w:rPr>
                <w:rFonts w:hint="eastAsia" w:eastAsia="新宋体"/>
                <w:lang w:val="en-US" w:eastAsia="zh-CN"/>
              </w:rPr>
              <w:t>/办事处</w:t>
            </w:r>
            <w:r>
              <w:rPr>
                <w:rFonts w:hint="eastAsia" w:eastAsia="新宋体"/>
              </w:rPr>
              <w:t>的营业执照、税务登记证</w:t>
            </w:r>
            <w:r>
              <w:rPr>
                <w:rFonts w:hint="eastAsia" w:eastAsia="新宋体"/>
                <w:lang w:val="en-US" w:eastAsia="zh-CN"/>
              </w:rPr>
              <w:t>并加盖公章</w:t>
            </w:r>
            <w:r>
              <w:rPr>
                <w:rFonts w:hint="eastAsia" w:eastAsia="新宋体"/>
              </w:rPr>
              <w:t>，否则无效）。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06" w:type="dxa"/>
            <w:tcBorders>
              <w:left w:val="single" w:color="auto" w:sz="4" w:space="0"/>
              <w:right w:val="single" w:color="auto" w:sz="4" w:space="0"/>
            </w:tcBorders>
            <w:shd w:val="clear" w:color="auto" w:fill="FFFFFF"/>
            <w:noWrap/>
            <w:vAlign w:val="center"/>
          </w:tcPr>
          <w:p>
            <w:pPr>
              <w:spacing w:line="460" w:lineRule="exact"/>
              <w:ind w:left="-50"/>
              <w:jc w:val="center"/>
              <w:rPr>
                <w:rFonts w:ascii="新宋体" w:hAnsi="新宋体" w:eastAsia="新宋体" w:cs="新宋体"/>
                <w:szCs w:val="21"/>
              </w:rPr>
            </w:pPr>
            <w:r>
              <w:rPr>
                <w:rFonts w:ascii="新宋体" w:hAnsi="新宋体" w:eastAsia="新宋体" w:cs="新宋体"/>
                <w:szCs w:val="21"/>
              </w:rPr>
              <w:t>6</w:t>
            </w:r>
          </w:p>
        </w:tc>
        <w:tc>
          <w:tcPr>
            <w:tcW w:w="1376" w:type="dxa"/>
            <w:tcBorders>
              <w:left w:val="single" w:color="auto" w:sz="4" w:space="0"/>
              <w:right w:val="single" w:color="auto" w:sz="4" w:space="0"/>
            </w:tcBorders>
            <w:shd w:val="clear" w:color="auto" w:fill="FFFFFF"/>
            <w:noWrap/>
            <w:vAlign w:val="center"/>
          </w:tcPr>
          <w:p>
            <w:pPr>
              <w:spacing w:line="460" w:lineRule="exact"/>
              <w:jc w:val="center"/>
              <w:rPr>
                <w:rFonts w:ascii="新宋体" w:hAnsi="新宋体" w:eastAsia="新宋体" w:cs="新宋体"/>
                <w:szCs w:val="21"/>
              </w:rPr>
            </w:pPr>
            <w:r>
              <w:rPr>
                <w:rFonts w:hint="eastAsia" w:ascii="新宋体" w:hAnsi="新宋体" w:eastAsia="新宋体" w:cs="新宋体"/>
                <w:szCs w:val="21"/>
              </w:rPr>
              <w:t>优惠条件</w:t>
            </w:r>
          </w:p>
        </w:tc>
        <w:tc>
          <w:tcPr>
            <w:tcW w:w="745" w:type="dxa"/>
            <w:tcBorders>
              <w:left w:val="single" w:color="auto" w:sz="4" w:space="0"/>
              <w:right w:val="single" w:color="auto" w:sz="4" w:space="0"/>
            </w:tcBorders>
            <w:shd w:val="clear" w:color="auto" w:fill="FFFFFF"/>
            <w:noWrap/>
            <w:vAlign w:val="center"/>
          </w:tcPr>
          <w:p>
            <w:pPr>
              <w:spacing w:line="460" w:lineRule="exact"/>
              <w:jc w:val="center"/>
              <w:rPr>
                <w:rFonts w:hint="eastAsia" w:ascii="新宋体" w:hAnsi="新宋体" w:eastAsia="新宋体" w:cs="新宋体"/>
                <w:szCs w:val="21"/>
                <w:lang w:eastAsia="zh-CN"/>
              </w:rPr>
            </w:pPr>
            <w:r>
              <w:rPr>
                <w:rFonts w:eastAsia="新宋体"/>
                <w:kern w:val="0"/>
                <w:szCs w:val="21"/>
              </w:rPr>
              <w:t>0-</w:t>
            </w:r>
            <w:r>
              <w:rPr>
                <w:rFonts w:hint="eastAsia" w:ascii="新宋体" w:hAnsi="新宋体" w:eastAsia="新宋体" w:cs="新宋体"/>
                <w:szCs w:val="21"/>
                <w:lang w:val="en-US" w:eastAsia="zh-CN"/>
              </w:rPr>
              <w:t>2</w:t>
            </w:r>
          </w:p>
        </w:tc>
        <w:tc>
          <w:tcPr>
            <w:tcW w:w="56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460" w:lineRule="exact"/>
              <w:rPr>
                <w:rFonts w:ascii="新宋体" w:hAnsi="新宋体" w:eastAsia="新宋体" w:cs="新宋体"/>
                <w:szCs w:val="21"/>
              </w:rPr>
            </w:pPr>
            <w:r>
              <w:rPr>
                <w:rFonts w:hint="eastAsia" w:ascii="新宋体" w:hAnsi="新宋体" w:eastAsia="新宋体" w:cs="新宋体"/>
                <w:szCs w:val="21"/>
              </w:rPr>
              <w:t>根据提供的实质优惠内容打分（</w:t>
            </w:r>
            <w:r>
              <w:rPr>
                <w:rFonts w:ascii="新宋体" w:hAnsi="新宋体" w:eastAsia="新宋体" w:cs="新宋体"/>
                <w:szCs w:val="21"/>
              </w:rPr>
              <w:t>0-</w:t>
            </w:r>
            <w:r>
              <w:rPr>
                <w:rFonts w:hint="eastAsia" w:ascii="新宋体" w:hAnsi="新宋体" w:eastAsia="新宋体" w:cs="新宋体"/>
                <w:szCs w:val="21"/>
                <w:lang w:val="en-US" w:eastAsia="zh-CN"/>
              </w:rPr>
              <w:t>2</w:t>
            </w:r>
            <w:r>
              <w:rPr>
                <w:rFonts w:hint="eastAsia" w:ascii="新宋体" w:hAnsi="新宋体" w:eastAsia="新宋体" w:cs="新宋体"/>
                <w:szCs w:val="21"/>
              </w:rPr>
              <w:t>分）</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both"/>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numPr>
          <w:ilvl w:val="0"/>
          <w:numId w:val="4"/>
        </w:numPr>
        <w:rPr>
          <w:rFonts w:hint="eastAsia" w:ascii="宋体" w:hAnsi="宋体" w:eastAsia="宋体" w:cs="宋体"/>
          <w:sz w:val="24"/>
          <w:szCs w:val="24"/>
        </w:rPr>
      </w:pPr>
      <w:r>
        <w:rPr>
          <w:rFonts w:hint="eastAsia" w:ascii="宋体" w:hAnsi="宋体" w:eastAsia="宋体" w:cs="宋体"/>
          <w:sz w:val="24"/>
          <w:szCs w:val="24"/>
          <w:lang w:val="en-US" w:eastAsia="zh-CN"/>
        </w:rPr>
        <w:t>价格</w:t>
      </w:r>
      <w:r>
        <w:rPr>
          <w:rFonts w:hint="eastAsia" w:ascii="宋体" w:hAnsi="宋体" w:eastAsia="宋体" w:cs="宋体"/>
          <w:sz w:val="24"/>
          <w:szCs w:val="24"/>
        </w:rPr>
        <w:t>评分：</w:t>
      </w:r>
      <w:r>
        <w:rPr>
          <w:rFonts w:hint="eastAsia" w:ascii="宋体" w:hAnsi="宋体" w:eastAsia="宋体" w:cs="宋体"/>
          <w:sz w:val="24"/>
          <w:szCs w:val="24"/>
          <w:lang w:val="en-US" w:eastAsia="zh-CN"/>
        </w:rPr>
        <w:t>满分40</w:t>
      </w:r>
      <w:r>
        <w:rPr>
          <w:rFonts w:hint="eastAsia" w:ascii="宋体" w:hAnsi="宋体" w:eastAsia="宋体" w:cs="宋体"/>
          <w:sz w:val="24"/>
          <w:szCs w:val="24"/>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8" w:name="_Toc11964"/>
      <w:bookmarkStart w:id="19" w:name="_Toc8618"/>
      <w:r>
        <w:rPr>
          <w:rFonts w:hint="eastAsia" w:ascii="宋体" w:hAnsi="宋体" w:eastAsia="宋体" w:cs="宋体"/>
          <w:b/>
          <w:color w:val="auto"/>
          <w:sz w:val="28"/>
          <w:szCs w:val="28"/>
          <w:highlight w:val="none"/>
          <w:lang w:val="zh-CN"/>
        </w:rPr>
        <w:t>报价一览表</w:t>
      </w:r>
      <w:bookmarkEnd w:id="18"/>
      <w:bookmarkEnd w:id="19"/>
    </w:p>
    <w:p>
      <w:pPr>
        <w:spacing w:line="460" w:lineRule="exact"/>
        <w:ind w:firstLine="235" w:firstLineChars="98"/>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温州市中医院数据库维保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18"/>
        <w:gridCol w:w="3778"/>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618"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778"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12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47"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1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778"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127"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47"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1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778"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127"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spacing w:line="450" w:lineRule="exact"/>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 xml:space="preserve">           </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8A74"/>
    <w:multiLevelType w:val="singleLevel"/>
    <w:tmpl w:val="C2F38A74"/>
    <w:lvl w:ilvl="0" w:tentative="0">
      <w:start w:val="2"/>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286271E5"/>
    <w:multiLevelType w:val="multilevel"/>
    <w:tmpl w:val="286271E5"/>
    <w:lvl w:ilvl="0" w:tentative="0">
      <w:start w:val="1"/>
      <w:numFmt w:val="low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762AE7CD"/>
    <w:multiLevelType w:val="singleLevel"/>
    <w:tmpl w:val="762AE7CD"/>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EDBB908E"/>
    <w:rsid w:val="029004BF"/>
    <w:rsid w:val="04213946"/>
    <w:rsid w:val="04D41441"/>
    <w:rsid w:val="055C30DB"/>
    <w:rsid w:val="09EF5C6A"/>
    <w:rsid w:val="0A9C30FB"/>
    <w:rsid w:val="0D124418"/>
    <w:rsid w:val="10686DD7"/>
    <w:rsid w:val="10B95885"/>
    <w:rsid w:val="153B4572"/>
    <w:rsid w:val="18F95E10"/>
    <w:rsid w:val="1ABA19DE"/>
    <w:rsid w:val="1F446C62"/>
    <w:rsid w:val="201E44DB"/>
    <w:rsid w:val="23AB72AF"/>
    <w:rsid w:val="244254FC"/>
    <w:rsid w:val="254C462D"/>
    <w:rsid w:val="27DF39CB"/>
    <w:rsid w:val="2AB006E8"/>
    <w:rsid w:val="2BFE1832"/>
    <w:rsid w:val="2C2163B1"/>
    <w:rsid w:val="2DFB0E33"/>
    <w:rsid w:val="2FB39D8B"/>
    <w:rsid w:val="2FEDBC4C"/>
    <w:rsid w:val="33CA5C3B"/>
    <w:rsid w:val="35F72828"/>
    <w:rsid w:val="36053A80"/>
    <w:rsid w:val="374455F9"/>
    <w:rsid w:val="37BBB84A"/>
    <w:rsid w:val="392B0762"/>
    <w:rsid w:val="3CB55C21"/>
    <w:rsid w:val="4391420F"/>
    <w:rsid w:val="45FE0286"/>
    <w:rsid w:val="48CC544E"/>
    <w:rsid w:val="49854AA6"/>
    <w:rsid w:val="499F2B63"/>
    <w:rsid w:val="49B112AF"/>
    <w:rsid w:val="4C4B7F4C"/>
    <w:rsid w:val="4CD34FFD"/>
    <w:rsid w:val="4EBD3DCF"/>
    <w:rsid w:val="54BC0090"/>
    <w:rsid w:val="55646631"/>
    <w:rsid w:val="597C6A1D"/>
    <w:rsid w:val="5C9347A9"/>
    <w:rsid w:val="5D261179"/>
    <w:rsid w:val="61397AE4"/>
    <w:rsid w:val="67754710"/>
    <w:rsid w:val="67AA53C7"/>
    <w:rsid w:val="67E362BE"/>
    <w:rsid w:val="68625CD8"/>
    <w:rsid w:val="68BC0BE4"/>
    <w:rsid w:val="69781B87"/>
    <w:rsid w:val="69F55601"/>
    <w:rsid w:val="6A3E3B9D"/>
    <w:rsid w:val="6BB23A37"/>
    <w:rsid w:val="6C094140"/>
    <w:rsid w:val="6C7448DE"/>
    <w:rsid w:val="6FF34F5D"/>
    <w:rsid w:val="70003AAC"/>
    <w:rsid w:val="719BC1F3"/>
    <w:rsid w:val="7327134F"/>
    <w:rsid w:val="73FB6A64"/>
    <w:rsid w:val="74847164"/>
    <w:rsid w:val="79D53106"/>
    <w:rsid w:val="7A756E44"/>
    <w:rsid w:val="7B7F705D"/>
    <w:rsid w:val="7C556F2D"/>
    <w:rsid w:val="7E6671D0"/>
    <w:rsid w:val="9E5FB5C1"/>
    <w:rsid w:val="D7A71745"/>
    <w:rsid w:val="EDBB908E"/>
    <w:rsid w:val="F1FB3C8F"/>
    <w:rsid w:val="FEF34AF7"/>
    <w:rsid w:val="FFCE35CA"/>
    <w:rsid w:val="FFFB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6">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basedOn w:val="1"/>
    <w:qFormat/>
    <w:uiPriority w:val="34"/>
    <w:pPr>
      <w:ind w:firstLine="420" w:firstLineChars="200"/>
    </w:pPr>
  </w:style>
  <w:style w:type="paragraph" w:customStyle="1" w:styleId="12">
    <w:name w:val="Other|1"/>
    <w:basedOn w:val="1"/>
    <w:qFormat/>
    <w:uiPriority w:val="0"/>
    <w:pPr>
      <w:ind w:firstLine="180"/>
    </w:pPr>
    <w:rPr>
      <w:rFonts w:ascii="宋体" w:hAnsi="宋体" w:eastAsia="宋体" w:cs="宋体"/>
      <w:color w:val="auto"/>
      <w:kern w:val="2"/>
      <w:sz w:val="15"/>
      <w:szCs w:val="15"/>
      <w:lang w:val="zh-TW" w:eastAsia="zh-TW" w:bidi="zh-TW"/>
    </w:rPr>
  </w:style>
  <w:style w:type="paragraph" w:customStyle="1" w:styleId="13">
    <w:name w:val="编号正文5"/>
    <w:basedOn w:val="1"/>
    <w:qFormat/>
    <w:uiPriority w:val="0"/>
    <w:pPr>
      <w:adjustRightInd w:val="0"/>
      <w:spacing w:line="240" w:lineRule="atLeast"/>
      <w:ind w:left="709" w:hanging="425"/>
      <w:textAlignment w:val="baseline"/>
    </w:pPr>
    <w:rPr>
      <w:kern w:val="0"/>
      <w:szCs w:val="20"/>
    </w:rPr>
  </w:style>
  <w:style w:type="paragraph" w:customStyle="1" w:styleId="14">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6766</Words>
  <Characters>7210</Characters>
  <Lines>0</Lines>
  <Paragraphs>0</Paragraphs>
  <TotalTime>8</TotalTime>
  <ScaleCrop>false</ScaleCrop>
  <LinksUpToDate>false</LinksUpToDate>
  <CharactersWithSpaces>7385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2021-08-31T08:42:00Z</dcterms:created>
  <dc:creator>liu</dc:creator>
  <cp:lastModifiedBy>Administrator</cp:lastModifiedBy>
  <dcterms:modified xsi:type="dcterms:W3CDTF">2022-07-04T10:53:15Z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52930A19D6D9410095B614464EF47DBF</vt:lpwstr>
  </property>
</Properties>
</file>