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rightChars="0"/>
        <w:jc w:val="center"/>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sz w:val="30"/>
          <w:szCs w:val="30"/>
          <w:shd w:val="clear" w:fill="FFFFFF"/>
        </w:rPr>
        <w:t>温州市中医院关于</w:t>
      </w:r>
      <w:r>
        <w:rPr>
          <w:rFonts w:hint="eastAsia" w:ascii="宋体" w:hAnsi="宋体" w:eastAsia="宋体" w:cs="宋体"/>
          <w:b/>
          <w:bCs/>
          <w:i w:val="0"/>
          <w:iCs w:val="0"/>
          <w:caps w:val="0"/>
          <w:color w:val="333333"/>
          <w:spacing w:val="0"/>
          <w:sz w:val="30"/>
          <w:szCs w:val="30"/>
          <w:shd w:val="clear" w:fill="FFFFFF"/>
          <w:lang w:val="en-US" w:eastAsia="zh-CN"/>
        </w:rPr>
        <w:t>高频胸壁振荡排痰仪</w:t>
      </w:r>
      <w:r>
        <w:rPr>
          <w:rFonts w:hint="eastAsia" w:ascii="宋体" w:hAnsi="宋体" w:eastAsia="宋体" w:cs="宋体"/>
          <w:b/>
          <w:bCs/>
          <w:i w:val="0"/>
          <w:iCs w:val="0"/>
          <w:caps w:val="0"/>
          <w:color w:val="333333"/>
          <w:spacing w:val="0"/>
          <w:sz w:val="30"/>
          <w:szCs w:val="30"/>
          <w:shd w:val="clear" w:fill="FFFFFF"/>
        </w:rPr>
        <w:t>项目的公开招标</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28"/>
          <w:szCs w:val="28"/>
          <w:lang w:val="en-US" w:eastAsia="zh-CN" w:bidi="ar-SA"/>
        </w:rPr>
        <w:t>投标文件编制要求</w:t>
      </w:r>
      <w:bookmarkStart w:id="0" w:name="_GoBack"/>
      <w:bookmarkEnd w:id="0"/>
    </w:p>
    <w:p>
      <w:pPr>
        <w:snapToGrid w:val="0"/>
        <w:spacing w:line="360" w:lineRule="auto"/>
        <w:ind w:firstLine="419" w:firstLineChars="174"/>
        <w:jc w:val="left"/>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w:t>
      </w:r>
      <w:r>
        <w:rPr>
          <w:rFonts w:hint="eastAsia" w:asciiTheme="minorEastAsia" w:hAnsiTheme="minorEastAsia" w:eastAsiaTheme="minorEastAsia" w:cstheme="minorEastAsia"/>
          <w:kern w:val="2"/>
          <w:sz w:val="24"/>
          <w:szCs w:val="24"/>
          <w:lang w:val="en-US" w:eastAsia="zh-CN" w:bidi="ar-SA"/>
        </w:rPr>
        <w:t>技术资信</w:t>
      </w:r>
      <w:r>
        <w:rPr>
          <w:rFonts w:hint="eastAsia" w:asciiTheme="minorEastAsia" w:hAnsiTheme="minorEastAsia" w:cstheme="minorEastAsia"/>
          <w:kern w:val="2"/>
          <w:sz w:val="24"/>
          <w:szCs w:val="24"/>
          <w:lang w:val="en-US" w:eastAsia="zh-CN" w:bidi="ar-SA"/>
        </w:rPr>
        <w:t>文件</w:t>
      </w:r>
      <w:r>
        <w:rPr>
          <w:rFonts w:hint="eastAsia" w:asciiTheme="minorEastAsia" w:hAnsiTheme="minorEastAsia" w:eastAsiaTheme="minorEastAsia" w:cstheme="minorEastAsia"/>
          <w:b w:val="0"/>
          <w:bCs/>
          <w:sz w:val="24"/>
          <w:szCs w:val="24"/>
        </w:rPr>
        <w:t>和报价文件</w:t>
      </w:r>
      <w:r>
        <w:rPr>
          <w:rFonts w:hint="eastAsia" w:asciiTheme="minorEastAsia" w:hAnsiTheme="minorEastAsia" w:cstheme="minorEastAsia"/>
          <w:b w:val="0"/>
          <w:bCs/>
          <w:sz w:val="24"/>
          <w:szCs w:val="24"/>
          <w:lang w:eastAsia="zh-CN"/>
        </w:rPr>
        <w:t>两</w:t>
      </w:r>
      <w:r>
        <w:rPr>
          <w:rFonts w:hint="eastAsia" w:asciiTheme="minorEastAsia" w:hAnsiTheme="minorEastAsia" w:eastAsiaTheme="minorEastAsia" w:cstheme="minorEastAsia"/>
          <w:b w:val="0"/>
          <w:bCs/>
          <w:sz w:val="24"/>
          <w:szCs w:val="24"/>
        </w:rPr>
        <w:t>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2"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kern w:val="2"/>
          <w:sz w:val="24"/>
          <w:szCs w:val="24"/>
          <w:lang w:val="en-US" w:eastAsia="zh-CN" w:bidi="ar-SA"/>
        </w:rPr>
        <w:t>技术资信</w:t>
      </w:r>
      <w:r>
        <w:rPr>
          <w:rFonts w:hint="eastAsia" w:asciiTheme="minorEastAsia" w:hAnsiTheme="minorEastAsia" w:eastAsiaTheme="minorEastAsia" w:cstheme="minorEastAsia"/>
          <w:b/>
          <w:bCs w:val="0"/>
          <w:sz w:val="24"/>
          <w:szCs w:val="24"/>
        </w:rPr>
        <w:t>文件</w:t>
      </w:r>
      <w:r>
        <w:rPr>
          <w:rFonts w:hint="eastAsia" w:asciiTheme="minorEastAsia" w:hAnsiTheme="minorEastAsia" w:eastAsiaTheme="minorEastAsia" w:cstheme="minorEastAsia"/>
          <w:b w:val="0"/>
          <w:bCs/>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）消耗品或易耗品价格</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）业绩证明</w:t>
      </w:r>
      <w:r>
        <w:rPr>
          <w:rFonts w:hint="eastAsia" w:asciiTheme="minorEastAsia" w:hAnsiTheme="minorEastAsia" w:cstheme="minorEastAsia"/>
          <w:sz w:val="24"/>
          <w:szCs w:val="24"/>
          <w:lang w:eastAsia="zh-CN"/>
        </w:rPr>
        <w:t>，提供</w:t>
      </w:r>
      <w:r>
        <w:rPr>
          <w:rFonts w:hint="eastAsia" w:asciiTheme="minorEastAsia" w:hAnsiTheme="minorEastAsia" w:cstheme="minorEastAsia"/>
          <w:sz w:val="24"/>
          <w:szCs w:val="24"/>
          <w:lang w:val="en-US" w:eastAsia="zh-CN"/>
        </w:rPr>
        <w:t>5份销售</w:t>
      </w:r>
      <w:r>
        <w:rPr>
          <w:rFonts w:hint="eastAsia" w:asciiTheme="minorEastAsia" w:hAnsiTheme="minorEastAsia" w:cstheme="minorEastAsia"/>
          <w:sz w:val="24"/>
          <w:szCs w:val="24"/>
          <w:lang w:eastAsia="zh-CN"/>
        </w:rPr>
        <w:t>合同复印件带公章（</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eastAsia="zh-CN"/>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）维修能力</w:t>
      </w:r>
      <w:r>
        <w:rPr>
          <w:rFonts w:hint="eastAsia" w:asciiTheme="minorEastAsia" w:hAnsiTheme="minorEastAsia" w:cstheme="minorEastAsia"/>
          <w:sz w:val="24"/>
          <w:szCs w:val="24"/>
          <w:lang w:eastAsia="zh-CN"/>
        </w:rPr>
        <w:t>，提供省内维修服务地点和人员资料</w:t>
      </w:r>
      <w:r>
        <w:rPr>
          <w:rFonts w:hint="eastAsia" w:asciiTheme="minorEastAsia" w:hAnsiTheme="minorEastAsia" w:eastAsiaTheme="minorEastAsia" w:cstheme="minorEastAsia"/>
          <w:sz w:val="24"/>
          <w:szCs w:val="24"/>
        </w:rPr>
        <w:t>（详见评分标准要求）；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）投标机型的彩页和原厂技术参数；</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）评分方法中</w:t>
      </w:r>
      <w:r>
        <w:rPr>
          <w:rFonts w:hint="eastAsia" w:asciiTheme="minorEastAsia" w:hAnsiTheme="minorEastAsia" w:cstheme="minorEastAsia"/>
          <w:sz w:val="24"/>
          <w:szCs w:val="24"/>
          <w:lang w:eastAsia="zh-CN"/>
        </w:rPr>
        <w:t>需要提供</w:t>
      </w:r>
      <w:r>
        <w:rPr>
          <w:rFonts w:hint="eastAsia" w:asciiTheme="minorEastAsia" w:hAnsiTheme="minorEastAsia" w:eastAsiaTheme="minorEastAsia" w:cstheme="minorEastAsia"/>
          <w:sz w:val="24"/>
          <w:szCs w:val="24"/>
        </w:rPr>
        <w:t>的评审证明文件等；</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2" w:firstLineChars="196"/>
        <w:jc w:val="left"/>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28"/>
          <w:szCs w:val="28"/>
          <w:lang w:val="en-US" w:eastAsia="zh-CN" w:bidi="ar-SA"/>
        </w:rPr>
      </w:pPr>
      <w:r>
        <w:rPr>
          <w:rStyle w:val="13"/>
          <w:rFonts w:hint="eastAsia" w:asciiTheme="minorEastAsia" w:hAnsiTheme="minorEastAsia" w:eastAsiaTheme="minorEastAsia" w:cstheme="minorEastAsia"/>
          <w:b/>
          <w:bCs/>
          <w:kern w:val="2"/>
          <w:sz w:val="28"/>
          <w:szCs w:val="28"/>
          <w:lang w:val="en-US" w:eastAsia="zh-CN" w:bidi="ar-SA"/>
        </w:rPr>
        <w:t>商务、技术参数偏离表</w:t>
      </w:r>
    </w:p>
    <w:tbl>
      <w:tblPr>
        <w:tblStyle w:val="11"/>
        <w:tblpPr w:leftFromText="180" w:rightFromText="180" w:vertAnchor="page" w:horzAnchor="page" w:tblpX="1576" w:tblpY="7248"/>
        <w:tblOverlap w:val="never"/>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80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807"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870"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val="en-US" w:eastAsia="zh-CN"/>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vAlign w:val="top"/>
          </w:tcPr>
          <w:p>
            <w:pPr>
              <w:jc w:val="center"/>
              <w:rPr>
                <w:rFonts w:hint="eastAsia" w:asciiTheme="minorEastAsia" w:hAnsiTheme="minorEastAsia" w:eastAsiaTheme="minorEastAsia" w:cstheme="minorEastAsia"/>
                <w:sz w:val="24"/>
                <w:szCs w:val="24"/>
                <w:lang w:val="en-US" w:eastAsia="zh-CN"/>
              </w:rPr>
            </w:pPr>
            <w:r>
              <w:rPr>
                <w:rFonts w:hint="eastAsia" w:ascii="Times New Roman" w:hAnsi="宋体" w:cs="Times New Roman"/>
                <w:kern w:val="0"/>
                <w:sz w:val="24"/>
                <w:lang w:eastAsia="zh-CN"/>
              </w:rPr>
              <w:t>一</w:t>
            </w:r>
          </w:p>
        </w:tc>
        <w:tc>
          <w:tcPr>
            <w:tcW w:w="7807" w:type="dxa"/>
            <w:vAlign w:val="top"/>
          </w:tcPr>
          <w:p>
            <w:pPr>
              <w:jc w:val="left"/>
              <w:rPr>
                <w:rFonts w:hint="eastAsia" w:asciiTheme="minorEastAsia" w:hAnsiTheme="minorEastAsia" w:eastAsiaTheme="minorEastAsia" w:cstheme="minorEastAsia"/>
                <w:b/>
                <w:kern w:val="2"/>
                <w:sz w:val="24"/>
                <w:szCs w:val="24"/>
                <w:lang w:val="en-US" w:eastAsia="zh-CN" w:bidi="ar-SA"/>
              </w:rPr>
            </w:pPr>
            <w:r>
              <w:rPr>
                <w:rFonts w:hint="eastAsia" w:ascii="Times New Roman" w:hAnsi="宋体" w:cs="Times New Roman"/>
                <w:bCs/>
                <w:sz w:val="24"/>
                <w:lang w:val="en-US" w:eastAsia="zh-CN"/>
              </w:rPr>
              <w:t>高频胸壁振荡排痰仪  1套</w:t>
            </w:r>
          </w:p>
        </w:tc>
        <w:tc>
          <w:tcPr>
            <w:tcW w:w="870" w:type="dxa"/>
            <w:vAlign w:val="center"/>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lang w:val="en-US" w:eastAsia="zh-CN"/>
              </w:rPr>
            </w:pPr>
            <w:r>
              <w:rPr>
                <w:sz w:val="24"/>
              </w:rPr>
              <w:t>1</w:t>
            </w:r>
          </w:p>
        </w:tc>
        <w:tc>
          <w:tcPr>
            <w:tcW w:w="7807" w:type="dxa"/>
            <w:vAlign w:val="top"/>
          </w:tcPr>
          <w:p>
            <w:pPr>
              <w:jc w:val="left"/>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Times New Roman" w:hAnsi="宋体" w:cs="Times New Roman"/>
                <w:bCs/>
                <w:sz w:val="24"/>
                <w:lang w:val="en-US" w:eastAsia="zh-CN"/>
              </w:rPr>
              <w:t>适应范围：用于降低痰液粘稠度，促进痰液从支气管向主气管移动。</w:t>
            </w:r>
          </w:p>
        </w:tc>
        <w:tc>
          <w:tcPr>
            <w:tcW w:w="870" w:type="dxa"/>
            <w:vAlign w:val="center"/>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lang w:val="en-US" w:eastAsia="zh-CN"/>
              </w:rPr>
            </w:pPr>
            <w:r>
              <w:rPr>
                <w:sz w:val="24"/>
              </w:rPr>
              <w:t>2</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供电电源：100-240V，50/60Hz</w:t>
            </w:r>
          </w:p>
        </w:tc>
        <w:tc>
          <w:tcPr>
            <w:tcW w:w="870" w:type="dxa"/>
            <w:vAlign w:val="center"/>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rPr>
            </w:pPr>
            <w:r>
              <w:rPr>
                <w:rFonts w:hAnsi="宋体"/>
                <w:bCs/>
                <w:sz w:val="24"/>
              </w:rPr>
              <w:t>3</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振动频率：</w:t>
            </w:r>
            <w:r>
              <w:rPr>
                <w:rFonts w:hint="default" w:ascii="Times New Roman" w:hAnsi="宋体" w:cs="Times New Roman"/>
                <w:bCs/>
                <w:sz w:val="24"/>
                <w:lang w:val="en-US" w:eastAsia="zh-CN"/>
              </w:rPr>
              <w:t>≤</w:t>
            </w:r>
            <w:r>
              <w:rPr>
                <w:rFonts w:hint="eastAsia" w:ascii="Times New Roman" w:hAnsi="宋体" w:cs="Times New Roman"/>
                <w:bCs/>
                <w:sz w:val="24"/>
                <w:lang w:val="en-US" w:eastAsia="zh-CN"/>
              </w:rPr>
              <w:t>18Hz，控制精度±15%，调节步长1Hz，长按可以连续调节</w:t>
            </w:r>
          </w:p>
        </w:tc>
        <w:tc>
          <w:tcPr>
            <w:tcW w:w="870" w:type="dxa"/>
            <w:vAlign w:val="center"/>
          </w:tcPr>
          <w:p>
            <w:pP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lang w:val="en-US" w:eastAsia="zh-CN"/>
              </w:rPr>
            </w:pPr>
            <w:r>
              <w:rPr>
                <w:rFonts w:hint="default" w:ascii="Times New Roman" w:hAnsi="Times New Roman" w:eastAsia="新宋体" w:cs="Times New Roman"/>
                <w:color w:val="auto"/>
                <w:sz w:val="22"/>
                <w:szCs w:val="22"/>
                <w:highlight w:val="none"/>
              </w:rPr>
              <w:t>★</w:t>
            </w:r>
            <w:r>
              <w:rPr>
                <w:rFonts w:hAnsi="宋体"/>
                <w:bCs/>
                <w:sz w:val="24"/>
              </w:rPr>
              <w:t>4</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振动压力：0-5kPa以内，1-10级可调，调节步长1级，长按可以连续调节</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default" w:ascii="宋体" w:hAnsi="宋体" w:eastAsia="宋体" w:cs="宋体"/>
                <w:i w:val="0"/>
                <w:iCs w:val="0"/>
                <w:color w:val="000000"/>
                <w:kern w:val="0"/>
                <w:sz w:val="24"/>
                <w:szCs w:val="24"/>
                <w:u w:val="none"/>
                <w:lang w:val="en-US" w:eastAsia="zh-CN" w:bidi="ar"/>
              </w:rPr>
            </w:pPr>
            <w:r>
              <w:rPr>
                <w:rFonts w:hAnsi="宋体"/>
                <w:bCs/>
                <w:sz w:val="24"/>
              </w:rPr>
              <w:t>5</w:t>
            </w:r>
          </w:p>
        </w:tc>
        <w:tc>
          <w:tcPr>
            <w:tcW w:w="7807" w:type="dxa"/>
            <w:vAlign w:val="top"/>
          </w:tcPr>
          <w:p>
            <w:pPr>
              <w:jc w:val="left"/>
              <w:rPr>
                <w:rFonts w:hint="eastAsia" w:ascii="宋体" w:hAnsi="宋体" w:eastAsia="宋体" w:cs="宋体"/>
                <w:b/>
                <w:bCs/>
                <w:i w:val="0"/>
                <w:iCs w:val="0"/>
                <w:color w:val="000000"/>
                <w:kern w:val="0"/>
                <w:sz w:val="24"/>
                <w:szCs w:val="24"/>
                <w:u w:val="none"/>
                <w:lang w:val="en-US" w:eastAsia="zh-CN" w:bidi="ar"/>
              </w:rPr>
            </w:pPr>
            <w:r>
              <w:rPr>
                <w:rFonts w:hint="eastAsia" w:ascii="Times New Roman" w:hAnsi="宋体" w:cs="Times New Roman"/>
                <w:bCs/>
                <w:sz w:val="24"/>
                <w:lang w:val="en-US" w:eastAsia="zh-CN"/>
              </w:rPr>
              <w:t>定时时间：1-60分钟可调，调节步长1分钟，长按可以连续调节</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default" w:ascii="宋体" w:hAnsi="宋体" w:eastAsia="宋体" w:cs="宋体"/>
                <w:i w:val="0"/>
                <w:iCs w:val="0"/>
                <w:color w:val="000000"/>
                <w:kern w:val="0"/>
                <w:sz w:val="24"/>
                <w:szCs w:val="24"/>
                <w:u w:val="none"/>
                <w:lang w:val="en-US" w:eastAsia="zh-CN" w:bidi="ar"/>
              </w:rPr>
            </w:pPr>
            <w:r>
              <w:rPr>
                <w:rFonts w:hAnsi="宋体"/>
                <w:bCs/>
                <w:sz w:val="24"/>
              </w:rPr>
              <w:t>6</w:t>
            </w:r>
          </w:p>
        </w:tc>
        <w:tc>
          <w:tcPr>
            <w:tcW w:w="7807" w:type="dxa"/>
            <w:vAlign w:val="top"/>
          </w:tcPr>
          <w:p>
            <w:pPr>
              <w:jc w:val="left"/>
              <w:rPr>
                <w:rFonts w:hint="eastAsia" w:ascii="宋体" w:hAnsi="宋体" w:eastAsia="宋体" w:cs="宋体"/>
                <w:b/>
                <w:bCs/>
                <w:i w:val="0"/>
                <w:iCs w:val="0"/>
                <w:color w:val="000000"/>
                <w:kern w:val="0"/>
                <w:sz w:val="24"/>
                <w:szCs w:val="24"/>
                <w:u w:val="none"/>
                <w:lang w:val="en-US" w:eastAsia="zh-CN" w:bidi="ar"/>
              </w:rPr>
            </w:pPr>
            <w:r>
              <w:rPr>
                <w:rFonts w:hint="eastAsia" w:ascii="Times New Roman" w:hAnsi="宋体" w:cs="Times New Roman"/>
                <w:bCs/>
                <w:sz w:val="24"/>
                <w:lang w:val="en-US" w:eastAsia="zh-CN"/>
              </w:rPr>
              <w:t>人机交互界面：</w:t>
            </w:r>
            <w:r>
              <w:rPr>
                <w:bCs/>
                <w:sz w:val="24"/>
              </w:rPr>
              <w:t>≥</w:t>
            </w:r>
            <w:r>
              <w:rPr>
                <w:rFonts w:hint="eastAsia" w:ascii="Times New Roman" w:hAnsi="宋体" w:cs="Times New Roman"/>
                <w:bCs/>
                <w:sz w:val="24"/>
                <w:lang w:val="en-US" w:eastAsia="zh-CN"/>
              </w:rPr>
              <w:t>10.7寸操作界面，内嵌</w:t>
            </w:r>
            <w:r>
              <w:rPr>
                <w:bCs/>
                <w:sz w:val="24"/>
              </w:rPr>
              <w:t>≥</w:t>
            </w:r>
            <w:r>
              <w:rPr>
                <w:rFonts w:hint="eastAsia" w:ascii="Times New Roman" w:hAnsi="宋体" w:cs="Times New Roman"/>
                <w:bCs/>
                <w:sz w:val="24"/>
                <w:lang w:val="en-US" w:eastAsia="zh-CN"/>
              </w:rPr>
              <w:t>4.3寸彩色高清LCD显示，中文导航式操作指引，多参数显示及可调（频率、压力、时间等）</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default" w:ascii="宋体" w:hAnsi="宋体" w:eastAsia="宋体" w:cs="宋体"/>
                <w:i w:val="0"/>
                <w:iCs w:val="0"/>
                <w:color w:val="000000"/>
                <w:kern w:val="0"/>
                <w:sz w:val="24"/>
                <w:szCs w:val="24"/>
                <w:u w:val="none"/>
                <w:lang w:val="en-US" w:eastAsia="zh-CN" w:bidi="ar"/>
              </w:rPr>
            </w:pPr>
            <w:r>
              <w:rPr>
                <w:rFonts w:hint="default" w:ascii="Times New Roman" w:hAnsi="Times New Roman" w:eastAsia="新宋体" w:cs="Times New Roman"/>
                <w:color w:val="auto"/>
                <w:sz w:val="22"/>
                <w:szCs w:val="22"/>
                <w:highlight w:val="none"/>
              </w:rPr>
              <w:t>★</w:t>
            </w:r>
            <w:r>
              <w:rPr>
                <w:rFonts w:hAnsi="宋体"/>
                <w:bCs/>
                <w:sz w:val="24"/>
              </w:rPr>
              <w:t>7</w:t>
            </w:r>
          </w:p>
        </w:tc>
        <w:tc>
          <w:tcPr>
            <w:tcW w:w="7807" w:type="dxa"/>
            <w:vAlign w:val="top"/>
          </w:tcPr>
          <w:p>
            <w:pPr>
              <w:jc w:val="left"/>
              <w:rPr>
                <w:rFonts w:hint="eastAsia" w:ascii="宋体" w:hAnsi="宋体" w:eastAsia="宋体" w:cs="宋体"/>
                <w:b/>
                <w:bCs/>
                <w:i w:val="0"/>
                <w:iCs w:val="0"/>
                <w:color w:val="000000"/>
                <w:kern w:val="0"/>
                <w:sz w:val="24"/>
                <w:szCs w:val="24"/>
                <w:u w:val="none"/>
                <w:lang w:val="en-US" w:eastAsia="zh-CN" w:bidi="ar"/>
              </w:rPr>
            </w:pPr>
            <w:r>
              <w:rPr>
                <w:rFonts w:hint="eastAsia" w:ascii="Times New Roman" w:hAnsi="宋体" w:cs="Times New Roman"/>
                <w:bCs/>
                <w:sz w:val="24"/>
                <w:lang w:val="en-US" w:eastAsia="zh-CN"/>
              </w:rPr>
              <w:t>治疗模式：</w:t>
            </w:r>
            <w:r>
              <w:rPr>
                <w:bCs/>
                <w:sz w:val="24"/>
              </w:rPr>
              <w:t>≥</w:t>
            </w:r>
            <w:r>
              <w:rPr>
                <w:rFonts w:hint="eastAsia" w:ascii="Times New Roman" w:hAnsi="宋体" w:cs="Times New Roman"/>
                <w:bCs/>
                <w:sz w:val="24"/>
                <w:lang w:val="en-US" w:eastAsia="zh-CN"/>
              </w:rPr>
              <w:t>5种治疗模式可选，包括常规模式、滚动模式和</w:t>
            </w:r>
            <w:r>
              <w:rPr>
                <w:bCs/>
                <w:sz w:val="24"/>
              </w:rPr>
              <w:t>≥</w:t>
            </w:r>
            <w:r>
              <w:rPr>
                <w:rFonts w:hint="eastAsia" w:ascii="Times New Roman" w:hAnsi="宋体" w:cs="Times New Roman"/>
                <w:bCs/>
                <w:sz w:val="24"/>
                <w:lang w:val="en-US" w:eastAsia="zh-CN"/>
              </w:rPr>
              <w:t>3种编程模式</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lang w:val="en-US" w:eastAsia="zh-CN"/>
              </w:rPr>
            </w:pPr>
            <w:r>
              <w:rPr>
                <w:rFonts w:hAnsi="宋体"/>
                <w:bCs/>
                <w:sz w:val="24"/>
              </w:rPr>
              <w:t>8</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滚动模式：通过设置两个点的频率和压力，并设置第一个点到第二个点所占用定时时间百分比，使治疗强度逐渐增加</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Theme="minorEastAsia" w:hAnsiTheme="minorEastAsia" w:eastAsiaTheme="minorEastAsia" w:cstheme="minorEastAsia"/>
                <w:color w:val="auto"/>
                <w:sz w:val="24"/>
                <w:szCs w:val="24"/>
                <w:lang w:val="en-US" w:eastAsia="zh-CN"/>
              </w:rPr>
            </w:pPr>
            <w:r>
              <w:rPr>
                <w:rFonts w:hint="default" w:ascii="Times New Roman" w:hAnsi="Times New Roman" w:eastAsia="新宋体" w:cs="Times New Roman"/>
                <w:color w:val="auto"/>
                <w:sz w:val="22"/>
                <w:szCs w:val="22"/>
                <w:highlight w:val="none"/>
              </w:rPr>
              <w:t>★</w:t>
            </w:r>
            <w:r>
              <w:rPr>
                <w:rFonts w:hAnsi="宋体"/>
                <w:bCs/>
                <w:sz w:val="24"/>
              </w:rPr>
              <w:t>9</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编程模式：该模式具有≥8个治疗段，每段均可设置该段的频率、压力和时间，执行完一个段再执行下一个段，满足不同患者的需求</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Theme="minorEastAsia" w:hAnsiTheme="minorEastAsia" w:eastAsiaTheme="minorEastAsia" w:cstheme="minorEastAsia"/>
                <w:color w:val="auto"/>
                <w:sz w:val="24"/>
                <w:szCs w:val="24"/>
                <w:lang w:val="en-US" w:eastAsia="zh-CN"/>
              </w:rPr>
            </w:pPr>
            <w:r>
              <w:rPr>
                <w:rFonts w:hint="eastAsia" w:hAnsi="宋体"/>
                <w:bCs/>
                <w:sz w:val="24"/>
                <w:lang w:val="en-US" w:eastAsia="zh-CN"/>
              </w:rPr>
              <w:t>10</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咳嗽暂停功能：咳嗽暂停时间为10秒-5分钟可调</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lang w:val="en-US" w:eastAsia="zh-CN"/>
              </w:rPr>
            </w:pPr>
            <w:r>
              <w:rPr>
                <w:rFonts w:hAnsi="宋体"/>
                <w:bCs/>
                <w:sz w:val="24"/>
              </w:rPr>
              <w:t>1</w:t>
            </w:r>
            <w:r>
              <w:rPr>
                <w:rFonts w:hint="eastAsia" w:hAnsi="宋体"/>
                <w:bCs/>
                <w:sz w:val="24"/>
                <w:lang w:val="en-US" w:eastAsia="zh-CN"/>
              </w:rPr>
              <w:t>1</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患者紧急停止保护：通过手持开关实现患者自主的紧急停止保护</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lang w:val="en-US" w:eastAsia="zh-CN"/>
              </w:rPr>
            </w:pPr>
            <w:r>
              <w:rPr>
                <w:rFonts w:hint="eastAsia"/>
                <w:color w:val="000000"/>
                <w:sz w:val="24"/>
                <w:lang w:val="en-US" w:eastAsia="zh-CN"/>
              </w:rPr>
              <w:t>12</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空气脉冲发生器：采用直流无刷电机和鼓风机，可长期连续工作</w:t>
            </w:r>
          </w:p>
        </w:tc>
        <w:tc>
          <w:tcPr>
            <w:tcW w:w="870" w:type="dxa"/>
            <w:vAlign w:val="center"/>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lang w:val="en-US" w:eastAsia="zh-CN"/>
              </w:rPr>
            </w:pPr>
            <w:r>
              <w:rPr>
                <w:rFonts w:hint="eastAsia" w:hAnsi="宋体"/>
                <w:bCs/>
                <w:sz w:val="24"/>
                <w:lang w:val="en-US" w:eastAsia="zh-CN"/>
              </w:rPr>
              <w:t>13</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充气背心：全胸充气背心采用倒V式设计，在确保患者有效咳嗽、咳痰时，避免对胃脘部的振荡；背心气囊可拆卸式设计，外层可干洗和机洗，洗后可与内层气囊重新组装</w:t>
            </w:r>
          </w:p>
        </w:tc>
        <w:tc>
          <w:tcPr>
            <w:tcW w:w="870"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Theme="minorEastAsia" w:hAnsiTheme="minorEastAsia" w:eastAsiaTheme="minorEastAsia" w:cstheme="minorEastAsia"/>
                <w:color w:val="FF0000"/>
                <w:sz w:val="24"/>
                <w:szCs w:val="24"/>
                <w:lang w:val="en-US" w:eastAsia="zh-CN"/>
              </w:rPr>
            </w:pPr>
            <w:r>
              <w:rPr>
                <w:rFonts w:hint="default" w:ascii="Times New Roman" w:hAnsi="Times New Roman" w:eastAsia="新宋体" w:cs="Times New Roman"/>
                <w:color w:val="auto"/>
                <w:sz w:val="22"/>
                <w:szCs w:val="22"/>
                <w:highlight w:val="none"/>
              </w:rPr>
              <w:t>★</w:t>
            </w:r>
            <w:r>
              <w:rPr>
                <w:rFonts w:hAnsi="宋体"/>
                <w:bCs/>
                <w:sz w:val="24"/>
              </w:rPr>
              <w:t>1</w:t>
            </w:r>
            <w:r>
              <w:rPr>
                <w:rFonts w:hint="eastAsia" w:hAnsi="宋体"/>
                <w:bCs/>
                <w:sz w:val="24"/>
                <w:lang w:val="en-US" w:eastAsia="zh-CN"/>
              </w:rPr>
              <w:t>4</w:t>
            </w:r>
          </w:p>
        </w:tc>
        <w:tc>
          <w:tcPr>
            <w:tcW w:w="7807" w:type="dxa"/>
            <w:vAlign w:val="top"/>
          </w:tcPr>
          <w:p>
            <w:pPr>
              <w:jc w:val="left"/>
              <w:rPr>
                <w:rFonts w:hint="eastAsia" w:asciiTheme="minorEastAsia" w:hAnsiTheme="minorEastAsia" w:eastAsiaTheme="minorEastAsia" w:cstheme="minorEastAsia"/>
                <w:color w:val="FF0000"/>
                <w:sz w:val="24"/>
                <w:szCs w:val="24"/>
              </w:rPr>
            </w:pPr>
            <w:r>
              <w:rPr>
                <w:rFonts w:hint="eastAsia" w:ascii="Times New Roman" w:hAnsi="宋体" w:cs="Times New Roman"/>
                <w:bCs/>
                <w:sz w:val="24"/>
                <w:lang w:val="en-US" w:eastAsia="zh-CN"/>
              </w:rPr>
              <w:t>患者治疗信息存储：采用SD卡装置，可无限量存储患者处方等信息，方便日常治疗管理和开展科研项目</w:t>
            </w:r>
          </w:p>
        </w:tc>
        <w:tc>
          <w:tcPr>
            <w:tcW w:w="870"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宋体" w:hAnsi="宋体"/>
                <w:color w:val="FF0000"/>
                <w:sz w:val="24"/>
                <w:szCs w:val="24"/>
              </w:rPr>
            </w:pPr>
            <w:r>
              <w:rPr>
                <w:rFonts w:hint="eastAsia" w:hAnsi="宋体"/>
                <w:bCs/>
                <w:sz w:val="24"/>
                <w:lang w:val="en-US" w:eastAsia="zh-CN"/>
              </w:rPr>
              <w:t>15</w:t>
            </w:r>
          </w:p>
        </w:tc>
        <w:tc>
          <w:tcPr>
            <w:tcW w:w="7807" w:type="dxa"/>
            <w:vAlign w:val="top"/>
          </w:tcPr>
          <w:p>
            <w:pPr>
              <w:jc w:val="left"/>
              <w:rPr>
                <w:rFonts w:ascii="宋体" w:hAnsi="宋体"/>
                <w:color w:val="FF0000"/>
                <w:sz w:val="24"/>
                <w:szCs w:val="24"/>
              </w:rPr>
            </w:pPr>
            <w:r>
              <w:rPr>
                <w:rFonts w:hint="eastAsia" w:ascii="Times New Roman" w:hAnsi="宋体" w:cs="Times New Roman"/>
                <w:bCs/>
                <w:sz w:val="24"/>
                <w:lang w:val="en-US" w:eastAsia="zh-CN"/>
              </w:rPr>
              <w:t>患者状态监测：可选配血氧饱和度（可实现实时接收患者反馈信息如心脉和血氧饱和度等）</w:t>
            </w:r>
          </w:p>
        </w:tc>
        <w:tc>
          <w:tcPr>
            <w:tcW w:w="870"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7" w:type="dxa"/>
            <w:vAlign w:val="top"/>
          </w:tcPr>
          <w:p>
            <w:pPr>
              <w:jc w:val="center"/>
              <w:rPr>
                <w:rFonts w:hint="eastAsia" w:ascii="宋体" w:hAnsi="宋体"/>
                <w:color w:val="FF0000"/>
                <w:sz w:val="24"/>
                <w:szCs w:val="24"/>
              </w:rPr>
            </w:pPr>
            <w:r>
              <w:rPr>
                <w:rFonts w:hint="eastAsia" w:hAnsi="宋体"/>
                <w:bCs/>
                <w:sz w:val="24"/>
                <w:lang w:val="en-US" w:eastAsia="zh-CN"/>
              </w:rPr>
              <w:t>16</w:t>
            </w:r>
          </w:p>
        </w:tc>
        <w:tc>
          <w:tcPr>
            <w:tcW w:w="7807" w:type="dxa"/>
            <w:vAlign w:val="top"/>
          </w:tcPr>
          <w:p>
            <w:pPr>
              <w:jc w:val="left"/>
              <w:rPr>
                <w:rFonts w:ascii="宋体" w:hAnsi="宋体"/>
                <w:color w:val="FF0000"/>
                <w:sz w:val="24"/>
                <w:szCs w:val="24"/>
              </w:rPr>
            </w:pPr>
            <w:r>
              <w:rPr>
                <w:rFonts w:hint="eastAsia" w:ascii="Times New Roman" w:hAnsi="宋体" w:cs="Times New Roman"/>
                <w:bCs/>
                <w:sz w:val="24"/>
                <w:lang w:val="en-US" w:eastAsia="zh-CN"/>
              </w:rPr>
              <w:t>主机尺寸和质量：≤15Kg，主机尺寸（长×宽×高）：350mm×240mm×240mm</w:t>
            </w:r>
          </w:p>
        </w:tc>
        <w:tc>
          <w:tcPr>
            <w:tcW w:w="870" w:type="dxa"/>
            <w:vAlign w:val="center"/>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三</w:t>
            </w:r>
          </w:p>
        </w:tc>
        <w:tc>
          <w:tcPr>
            <w:tcW w:w="7807"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安装验收</w:t>
            </w:r>
          </w:p>
        </w:tc>
        <w:tc>
          <w:tcPr>
            <w:tcW w:w="87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3.1</w:t>
            </w:r>
          </w:p>
        </w:tc>
        <w:tc>
          <w:tcPr>
            <w:tcW w:w="7807"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安装地点：医院指定科室；</w:t>
            </w:r>
          </w:p>
        </w:tc>
        <w:tc>
          <w:tcPr>
            <w:tcW w:w="87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3.2</w:t>
            </w:r>
          </w:p>
        </w:tc>
        <w:tc>
          <w:tcPr>
            <w:tcW w:w="7807"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安装完成时间：合同签订后1个月内交货，接买方通知后3天内完成安装；</w:t>
            </w:r>
          </w:p>
        </w:tc>
        <w:tc>
          <w:tcPr>
            <w:tcW w:w="87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3.3</w:t>
            </w:r>
          </w:p>
        </w:tc>
        <w:tc>
          <w:tcPr>
            <w:tcW w:w="7807"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安装标准：符合我国国家有关技术规范和技术标准；</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3.4</w:t>
            </w:r>
          </w:p>
        </w:tc>
        <w:tc>
          <w:tcPr>
            <w:tcW w:w="7807"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验收标准：符合我国国家有关技术规范和技术标准。</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3.5</w:t>
            </w:r>
          </w:p>
        </w:tc>
        <w:tc>
          <w:tcPr>
            <w:tcW w:w="7807"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安装、验收合格前所产生的一切费用（包括卸货、搬运、必要时的安全性能检测费等）由供方负责提供。</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7807"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售后服务</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4.1</w:t>
            </w:r>
          </w:p>
        </w:tc>
        <w:tc>
          <w:tcPr>
            <w:tcW w:w="7807"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免费保修：设备验收合格后保修≥1年，期间免一切维修费用；</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五</w:t>
            </w:r>
          </w:p>
        </w:tc>
        <w:tc>
          <w:tcPr>
            <w:tcW w:w="7807"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其他要求</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5.1</w:t>
            </w:r>
          </w:p>
        </w:tc>
        <w:tc>
          <w:tcPr>
            <w:tcW w:w="7807"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属于医疗器械管理范围的产品必须提供医疗器械注册证及注册登记表</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5.2</w:t>
            </w:r>
          </w:p>
        </w:tc>
        <w:tc>
          <w:tcPr>
            <w:tcW w:w="7807"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厂家承诺提供设备免费保修期（含消耗品、易损品、维修配件、人工服务等）≥ 1年。提供过保后年保价格</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5.3</w:t>
            </w:r>
          </w:p>
        </w:tc>
        <w:tc>
          <w:tcPr>
            <w:tcW w:w="7807"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操作手册、维修手册：提供操作手册、维修手册各一套</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5.4</w:t>
            </w:r>
          </w:p>
        </w:tc>
        <w:tc>
          <w:tcPr>
            <w:tcW w:w="7807"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培训：提供临床应用操作培训,并提供临床资料(培训ppt、考核试题)</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5.5</w:t>
            </w:r>
          </w:p>
        </w:tc>
        <w:tc>
          <w:tcPr>
            <w:tcW w:w="7807"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软件终身免费升级</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5.6</w:t>
            </w:r>
          </w:p>
        </w:tc>
        <w:tc>
          <w:tcPr>
            <w:tcW w:w="7807"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付款方式:验收合格后90工作日内付款，投标商开具单张发票限额必须大于投标单台设备价格</w:t>
            </w:r>
          </w:p>
        </w:tc>
        <w:tc>
          <w:tcPr>
            <w:tcW w:w="87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5.7</w:t>
            </w:r>
          </w:p>
        </w:tc>
        <w:tc>
          <w:tcPr>
            <w:tcW w:w="7807"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投标商提供的设备必须在距投标当日10个月内生产</w:t>
            </w:r>
          </w:p>
        </w:tc>
        <w:tc>
          <w:tcPr>
            <w:tcW w:w="870" w:type="dxa"/>
            <w:vAlign w:val="top"/>
          </w:tcPr>
          <w:p>
            <w:pPr>
              <w:rPr>
                <w:rFonts w:hint="eastAsia" w:asciiTheme="minorEastAsia" w:hAnsiTheme="minorEastAsia" w:eastAsiaTheme="minorEastAsia" w:cstheme="minorEastAsia"/>
                <w:kern w:val="0"/>
                <w:sz w:val="24"/>
                <w:szCs w:val="24"/>
              </w:rPr>
            </w:pPr>
          </w:p>
        </w:tc>
      </w:tr>
    </w:tbl>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eastAsia" w:asciiTheme="minorEastAsia" w:hAnsiTheme="minorEastAsia" w:cstheme="minorEastAsia"/>
          <w:b/>
          <w:bCs/>
          <w:kern w:val="2"/>
          <w:sz w:val="28"/>
          <w:szCs w:val="28"/>
          <w:lang w:val="en-US" w:eastAsia="zh-CN" w:bidi="ar-SA"/>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28"/>
          <w:szCs w:val="28"/>
          <w:lang w:val="en-US" w:eastAsia="zh-CN" w:bidi="ar-SA"/>
        </w:rPr>
      </w:pPr>
      <w:r>
        <w:rPr>
          <w:rStyle w:val="13"/>
          <w:rFonts w:hint="eastAsia" w:asciiTheme="minorEastAsia" w:hAnsiTheme="minorEastAsia" w:eastAsiaTheme="minorEastAsia" w:cstheme="minorEastAsia"/>
          <w:b/>
          <w:bCs/>
          <w:kern w:val="2"/>
          <w:sz w:val="28"/>
          <w:szCs w:val="28"/>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1分，代理商有维修服务人员得1分，承诺用户报修后四小时内维修人员能到场维修的得1分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四、</w:t>
      </w:r>
      <w:r>
        <w:rPr>
          <w:rStyle w:val="13"/>
          <w:rFonts w:hint="eastAsia" w:eastAsia="宋体" w:asciiTheme="minorEastAsia" w:hAnsiTheme="minorEastAsia" w:cstheme="minorEastAsia"/>
          <w:b/>
          <w:bCs/>
          <w:kern w:val="2"/>
          <w:sz w:val="28"/>
          <w:szCs w:val="28"/>
          <w:lang w:val="en-US" w:eastAsia="zh-CN" w:bidi="ar-SA"/>
        </w:rPr>
        <w:t>我院正式合同版本</w:t>
      </w:r>
    </w:p>
    <w:p>
      <w:pPr>
        <w:pStyle w:val="9"/>
        <w:rPr>
          <w:rFonts w:hint="eastAsia"/>
          <w:sz w:val="30"/>
          <w:szCs w:val="30"/>
        </w:rPr>
      </w:pPr>
    </w:p>
    <w:p>
      <w:pPr>
        <w:pStyle w:val="9"/>
        <w:rPr>
          <w:sz w:val="28"/>
          <w:szCs w:val="28"/>
        </w:rPr>
      </w:pPr>
      <w:r>
        <w:rPr>
          <w:rFonts w:hint="eastAsia"/>
          <w:sz w:val="28"/>
          <w:szCs w:val="28"/>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5"/>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10"/>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7"/>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7"/>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7"/>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7"/>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7"/>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7"/>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7"/>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7"/>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5"/>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8"/>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8"/>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5"/>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5"/>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8"/>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8"/>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5"/>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8"/>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8"/>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8"/>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8"/>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8"/>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5"/>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8"/>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8"/>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8"/>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8"/>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8"/>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5"/>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8"/>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8"/>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8"/>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8"/>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8"/>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8"/>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8"/>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8"/>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8"/>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8"/>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5"/>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8"/>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8"/>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8"/>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5"/>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8"/>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8"/>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8"/>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8"/>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8"/>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65BAD"/>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C2F54"/>
    <w:rsid w:val="00DD12A9"/>
    <w:rsid w:val="00DE7ADB"/>
    <w:rsid w:val="00E51899"/>
    <w:rsid w:val="00EF7182"/>
    <w:rsid w:val="00F01072"/>
    <w:rsid w:val="00F26748"/>
    <w:rsid w:val="02757B7D"/>
    <w:rsid w:val="02B15ED7"/>
    <w:rsid w:val="032B7EBE"/>
    <w:rsid w:val="037819C8"/>
    <w:rsid w:val="04165086"/>
    <w:rsid w:val="04BC738C"/>
    <w:rsid w:val="06BF4ECA"/>
    <w:rsid w:val="079468F0"/>
    <w:rsid w:val="092A537F"/>
    <w:rsid w:val="0A277157"/>
    <w:rsid w:val="0A323667"/>
    <w:rsid w:val="0B691EBF"/>
    <w:rsid w:val="0B9B4146"/>
    <w:rsid w:val="0D6B27A0"/>
    <w:rsid w:val="0D737863"/>
    <w:rsid w:val="0F2416D7"/>
    <w:rsid w:val="10827943"/>
    <w:rsid w:val="113D1317"/>
    <w:rsid w:val="11D15B1C"/>
    <w:rsid w:val="11D56F8A"/>
    <w:rsid w:val="129A029D"/>
    <w:rsid w:val="12C9410A"/>
    <w:rsid w:val="146D1EE3"/>
    <w:rsid w:val="14C02644"/>
    <w:rsid w:val="151634B2"/>
    <w:rsid w:val="157B401A"/>
    <w:rsid w:val="165B3C1A"/>
    <w:rsid w:val="17453125"/>
    <w:rsid w:val="184F31D7"/>
    <w:rsid w:val="18CC2819"/>
    <w:rsid w:val="1A2E6DE6"/>
    <w:rsid w:val="1CE31DCB"/>
    <w:rsid w:val="1D4821A9"/>
    <w:rsid w:val="1D4E0F3D"/>
    <w:rsid w:val="202B56B1"/>
    <w:rsid w:val="22723315"/>
    <w:rsid w:val="22CF7097"/>
    <w:rsid w:val="230A4103"/>
    <w:rsid w:val="232E51F6"/>
    <w:rsid w:val="23884864"/>
    <w:rsid w:val="24F7145A"/>
    <w:rsid w:val="27082DFB"/>
    <w:rsid w:val="27E45486"/>
    <w:rsid w:val="27EA63FC"/>
    <w:rsid w:val="29A837F3"/>
    <w:rsid w:val="2B057E38"/>
    <w:rsid w:val="2BA52826"/>
    <w:rsid w:val="2D7F5632"/>
    <w:rsid w:val="2EB05F76"/>
    <w:rsid w:val="2FBD42B3"/>
    <w:rsid w:val="2FDE2780"/>
    <w:rsid w:val="3005551A"/>
    <w:rsid w:val="30D412A1"/>
    <w:rsid w:val="30E84F1F"/>
    <w:rsid w:val="316641F0"/>
    <w:rsid w:val="31F8416E"/>
    <w:rsid w:val="32CE7A3F"/>
    <w:rsid w:val="32F87A34"/>
    <w:rsid w:val="33951D5C"/>
    <w:rsid w:val="34117E05"/>
    <w:rsid w:val="351B0D6F"/>
    <w:rsid w:val="35633FD8"/>
    <w:rsid w:val="365626A4"/>
    <w:rsid w:val="365B4E52"/>
    <w:rsid w:val="37C66C9B"/>
    <w:rsid w:val="391D40AF"/>
    <w:rsid w:val="3B2876C0"/>
    <w:rsid w:val="3BB420F5"/>
    <w:rsid w:val="3DB75172"/>
    <w:rsid w:val="3F1B3C4A"/>
    <w:rsid w:val="402E62DF"/>
    <w:rsid w:val="402F4957"/>
    <w:rsid w:val="405108FA"/>
    <w:rsid w:val="4136403A"/>
    <w:rsid w:val="41EF774F"/>
    <w:rsid w:val="42660058"/>
    <w:rsid w:val="42F001B6"/>
    <w:rsid w:val="43824C1A"/>
    <w:rsid w:val="449C5243"/>
    <w:rsid w:val="449E2D2B"/>
    <w:rsid w:val="46094A05"/>
    <w:rsid w:val="460A3EB2"/>
    <w:rsid w:val="477517FF"/>
    <w:rsid w:val="479F5F87"/>
    <w:rsid w:val="497E50E4"/>
    <w:rsid w:val="4982069C"/>
    <w:rsid w:val="49D93CFA"/>
    <w:rsid w:val="49DD5888"/>
    <w:rsid w:val="4A254910"/>
    <w:rsid w:val="4B956476"/>
    <w:rsid w:val="4C475042"/>
    <w:rsid w:val="4CB07F6D"/>
    <w:rsid w:val="4D3D3121"/>
    <w:rsid w:val="4DCB17F7"/>
    <w:rsid w:val="4DE87B3D"/>
    <w:rsid w:val="4E9816A0"/>
    <w:rsid w:val="4F4B1AD6"/>
    <w:rsid w:val="50F56948"/>
    <w:rsid w:val="52FB6FE4"/>
    <w:rsid w:val="532E4E4F"/>
    <w:rsid w:val="53423D16"/>
    <w:rsid w:val="534B0A6F"/>
    <w:rsid w:val="539D45B7"/>
    <w:rsid w:val="53CA557A"/>
    <w:rsid w:val="541C3522"/>
    <w:rsid w:val="545A32FC"/>
    <w:rsid w:val="547D6E0D"/>
    <w:rsid w:val="58271B3B"/>
    <w:rsid w:val="584110E8"/>
    <w:rsid w:val="587C329C"/>
    <w:rsid w:val="595B205E"/>
    <w:rsid w:val="5A4777C5"/>
    <w:rsid w:val="5A6E001E"/>
    <w:rsid w:val="5DEC7787"/>
    <w:rsid w:val="5DFE7766"/>
    <w:rsid w:val="60F93F09"/>
    <w:rsid w:val="619E2B99"/>
    <w:rsid w:val="62821FF2"/>
    <w:rsid w:val="63BC0FCC"/>
    <w:rsid w:val="63BE2CCE"/>
    <w:rsid w:val="646D470C"/>
    <w:rsid w:val="652105FA"/>
    <w:rsid w:val="65BC6B1C"/>
    <w:rsid w:val="66685885"/>
    <w:rsid w:val="68220405"/>
    <w:rsid w:val="683E0693"/>
    <w:rsid w:val="685E7C65"/>
    <w:rsid w:val="68AB5C34"/>
    <w:rsid w:val="698F00A6"/>
    <w:rsid w:val="6A800692"/>
    <w:rsid w:val="6BF3478F"/>
    <w:rsid w:val="6DE10695"/>
    <w:rsid w:val="6E6658CD"/>
    <w:rsid w:val="6F1A55B9"/>
    <w:rsid w:val="70E11AE1"/>
    <w:rsid w:val="711B411C"/>
    <w:rsid w:val="71694916"/>
    <w:rsid w:val="7392213F"/>
    <w:rsid w:val="739F5CC0"/>
    <w:rsid w:val="748F3673"/>
    <w:rsid w:val="772F4719"/>
    <w:rsid w:val="773504DF"/>
    <w:rsid w:val="77D07B6C"/>
    <w:rsid w:val="78667688"/>
    <w:rsid w:val="7A192AA7"/>
    <w:rsid w:val="7B395E66"/>
    <w:rsid w:val="7C3B1679"/>
    <w:rsid w:val="7C4831AB"/>
    <w:rsid w:val="7C84019A"/>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Calibri" w:hAnsi="Calibri" w:eastAsia="宋体" w:cs="Times New Roman"/>
    </w:r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 w:type="character" w:customStyle="1" w:styleId="23">
    <w:name w:val="标题 1 字符"/>
    <w:basedOn w:val="12"/>
    <w:link w:val="4"/>
    <w:qFormat/>
    <w:uiPriority w:val="9"/>
    <w:rPr>
      <w:b/>
      <w:bCs/>
      <w:kern w:val="44"/>
      <w:sz w:val="44"/>
      <w:szCs w:val="44"/>
    </w:rPr>
  </w:style>
  <w:style w:type="character" w:customStyle="1" w:styleId="24">
    <w:name w:val="Anrede1IhrZeichen"/>
    <w:qFormat/>
    <w:uiPriority w:val="0"/>
    <w:rPr>
      <w:rFonts w:hint="default" w:ascii="Arial" w:hAnsi="Arial"/>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6531</Words>
  <Characters>6750</Characters>
  <Lines>6</Lines>
  <Paragraphs>1</Paragraphs>
  <TotalTime>2</TotalTime>
  <ScaleCrop>false</ScaleCrop>
  <LinksUpToDate>false</LinksUpToDate>
  <CharactersWithSpaces>7273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2022-06-21T00:29:27Z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2052-11.1.0.11744</vt:lpwstr>
  </property>
  <property fmtid="{D5CDD505-2E9C-101B-9397-08002B2CF9AE}" pid="4" name="ICV">
    <vt:lpwstr>99012001CC8449E1B44B4987A03F7E88</vt:lpwstr>
  </property>
</Properties>
</file>