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right="0" w:rightChars="0"/>
        <w:jc w:val="center"/>
        <w:rPr>
          <w:rFonts w:hint="eastAsia" w:asciiTheme="majorEastAsia" w:hAnsiTheme="majorEastAsia" w:eastAsiaTheme="majorEastAsia" w:cstheme="majorEastAsia"/>
          <w:b/>
          <w:bCs/>
          <w:i w:val="0"/>
          <w:iCs w:val="0"/>
          <w:caps w:val="0"/>
          <w:color w:val="333333"/>
          <w:spacing w:val="0"/>
          <w:kern w:val="0"/>
          <w:sz w:val="21"/>
          <w:szCs w:val="21"/>
          <w:shd w:val="clear" w:fill="FFFFFF"/>
          <w:lang w:val="en-US" w:eastAsia="zh-CN" w:bidi="ar"/>
        </w:rPr>
      </w:pPr>
      <w:bookmarkStart w:id="0" w:name="_GoBack"/>
      <w:bookmarkEnd w:id="0"/>
      <w:r>
        <w:rPr>
          <w:rFonts w:hint="eastAsia" w:asciiTheme="majorEastAsia" w:hAnsiTheme="majorEastAsia" w:eastAsiaTheme="majorEastAsia" w:cstheme="majorEastAsia"/>
          <w:b/>
          <w:bCs/>
          <w:i w:val="0"/>
          <w:iCs w:val="0"/>
          <w:caps w:val="0"/>
          <w:color w:val="333333"/>
          <w:spacing w:val="0"/>
          <w:sz w:val="32"/>
          <w:szCs w:val="32"/>
          <w:shd w:val="clear" w:fill="FFFFFF"/>
        </w:rPr>
        <w:t>温州市中医院关于</w:t>
      </w:r>
      <w:r>
        <w:rPr>
          <w:rFonts w:hint="eastAsia" w:asciiTheme="majorEastAsia" w:hAnsiTheme="majorEastAsia" w:eastAsiaTheme="majorEastAsia" w:cstheme="majorEastAsia"/>
          <w:b/>
          <w:bCs/>
          <w:i w:val="0"/>
          <w:iCs w:val="0"/>
          <w:caps w:val="0"/>
          <w:color w:val="333333"/>
          <w:spacing w:val="0"/>
          <w:sz w:val="32"/>
          <w:szCs w:val="32"/>
          <w:shd w:val="clear" w:fill="FFFFFF"/>
          <w:lang w:eastAsia="zh-CN"/>
        </w:rPr>
        <w:t>上、下肢主被动训练器</w:t>
      </w:r>
      <w:r>
        <w:rPr>
          <w:rFonts w:hint="eastAsia" w:asciiTheme="majorEastAsia" w:hAnsiTheme="majorEastAsia" w:eastAsiaTheme="majorEastAsia" w:cstheme="majorEastAsia"/>
          <w:b/>
          <w:bCs/>
          <w:i w:val="0"/>
          <w:iCs w:val="0"/>
          <w:caps w:val="0"/>
          <w:color w:val="333333"/>
          <w:spacing w:val="0"/>
          <w:sz w:val="32"/>
          <w:szCs w:val="32"/>
          <w:shd w:val="clear" w:fill="FFFFFF"/>
        </w:rPr>
        <w:t>项目的公开招标</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2"/>
          <w:rFonts w:hint="eastAsia" w:asciiTheme="minorEastAsia" w:hAnsiTheme="minorEastAsia" w:eastAsiaTheme="minorEastAsia" w:cstheme="minorEastAsia"/>
          <w:b/>
          <w:bCs/>
          <w:kern w:val="2"/>
          <w:sz w:val="28"/>
          <w:szCs w:val="28"/>
          <w:lang w:val="en-US" w:eastAsia="zh-CN" w:bidi="ar-SA"/>
        </w:rPr>
        <w:t>投标文件编制要求</w:t>
      </w:r>
    </w:p>
    <w:p>
      <w:pPr>
        <w:snapToGrid w:val="0"/>
        <w:spacing w:line="360" w:lineRule="auto"/>
        <w:ind w:firstLine="419" w:firstLineChars="174"/>
        <w:jc w:val="left"/>
        <w:outlineLvl w:val="2"/>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w:t>
      </w:r>
      <w:r>
        <w:rPr>
          <w:rFonts w:hint="eastAsia" w:asciiTheme="minorEastAsia" w:hAnsiTheme="minorEastAsia" w:eastAsiaTheme="minorEastAsia" w:cstheme="minorEastAsia"/>
          <w:kern w:val="2"/>
          <w:sz w:val="24"/>
          <w:szCs w:val="24"/>
          <w:lang w:val="en-US" w:eastAsia="zh-CN" w:bidi="ar-SA"/>
        </w:rPr>
        <w:t>技术资信</w:t>
      </w:r>
      <w:r>
        <w:rPr>
          <w:rFonts w:hint="eastAsia" w:asciiTheme="minorEastAsia" w:hAnsiTheme="minorEastAsia" w:cstheme="minorEastAsia"/>
          <w:kern w:val="2"/>
          <w:sz w:val="24"/>
          <w:szCs w:val="24"/>
          <w:lang w:val="en-US" w:eastAsia="zh-CN" w:bidi="ar-SA"/>
        </w:rPr>
        <w:t>文件</w:t>
      </w:r>
      <w:r>
        <w:rPr>
          <w:rFonts w:hint="eastAsia" w:asciiTheme="minorEastAsia" w:hAnsiTheme="minorEastAsia" w:eastAsiaTheme="minorEastAsia" w:cstheme="minorEastAsia"/>
          <w:b w:val="0"/>
          <w:bCs/>
          <w:sz w:val="24"/>
          <w:szCs w:val="24"/>
        </w:rPr>
        <w:t>和报价文件</w:t>
      </w:r>
      <w:r>
        <w:rPr>
          <w:rFonts w:hint="eastAsia" w:asciiTheme="minorEastAsia" w:hAnsiTheme="minorEastAsia" w:cstheme="minorEastAsia"/>
          <w:b w:val="0"/>
          <w:bCs/>
          <w:sz w:val="24"/>
          <w:szCs w:val="24"/>
          <w:lang w:eastAsia="zh-CN"/>
        </w:rPr>
        <w:t>两</w:t>
      </w:r>
      <w:r>
        <w:rPr>
          <w:rFonts w:hint="eastAsia" w:asciiTheme="minorEastAsia" w:hAnsiTheme="minorEastAsia" w:eastAsiaTheme="minorEastAsia" w:cstheme="minorEastAsia"/>
          <w:b w:val="0"/>
          <w:bCs/>
          <w:sz w:val="24"/>
          <w:szCs w:val="24"/>
        </w:rPr>
        <w:t>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2"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bCs w:val="0"/>
          <w:sz w:val="24"/>
          <w:szCs w:val="24"/>
        </w:rPr>
        <w:t>1.</w:t>
      </w:r>
      <w:r>
        <w:rPr>
          <w:rFonts w:hint="eastAsia" w:asciiTheme="minorEastAsia" w:hAnsiTheme="minorEastAsia" w:eastAsiaTheme="minorEastAsia" w:cstheme="minorEastAsia"/>
          <w:b/>
          <w:bCs w:val="0"/>
          <w:kern w:val="2"/>
          <w:sz w:val="24"/>
          <w:szCs w:val="24"/>
          <w:lang w:val="en-US" w:eastAsia="zh-CN" w:bidi="ar-SA"/>
        </w:rPr>
        <w:t>技术资信</w:t>
      </w:r>
      <w:r>
        <w:rPr>
          <w:rFonts w:hint="eastAsia" w:asciiTheme="minorEastAsia" w:hAnsiTheme="minorEastAsia" w:eastAsiaTheme="minorEastAsia" w:cstheme="minorEastAsia"/>
          <w:b/>
          <w:bCs w:val="0"/>
          <w:sz w:val="24"/>
          <w:szCs w:val="24"/>
        </w:rPr>
        <w:t>文件</w:t>
      </w:r>
      <w:r>
        <w:rPr>
          <w:rFonts w:hint="eastAsia" w:asciiTheme="minorEastAsia" w:hAnsiTheme="minorEastAsia" w:eastAsiaTheme="minorEastAsia" w:cstheme="minorEastAsia"/>
          <w:b w:val="0"/>
          <w:bCs/>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val="en-US" w:eastAsia="zh-CN"/>
        </w:rPr>
        <w:t>6</w:t>
      </w:r>
      <w:r>
        <w:rPr>
          <w:rFonts w:hint="eastAsia" w:asciiTheme="minorEastAsia" w:hAnsiTheme="minorEastAsia" w:eastAsiaTheme="minorEastAsia" w:cstheme="minorEastAsia"/>
          <w:bCs/>
          <w:sz w:val="24"/>
          <w:szCs w:val="24"/>
        </w:rPr>
        <w:t>）货物制造商或其它有销售资格（提供证明材料）的供应商出具的授权书（适用于投标人是进口货物代理商的情形）；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w:t>
      </w:r>
      <w:r>
        <w:rPr>
          <w:rFonts w:hint="eastAsia" w:asciiTheme="minorEastAsia" w:hAnsi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11</w:t>
      </w:r>
      <w:r>
        <w:rPr>
          <w:rFonts w:hint="eastAsia" w:asciiTheme="minorEastAsia" w:hAnsiTheme="minorEastAsia" w:eastAsiaTheme="minorEastAsia" w:cstheme="minorEastAsia"/>
          <w:sz w:val="24"/>
          <w:szCs w:val="24"/>
        </w:rPr>
        <w:t>）设备配置清单；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12</w:t>
      </w:r>
      <w:r>
        <w:rPr>
          <w:rFonts w:hint="eastAsia" w:asciiTheme="minorEastAsia" w:hAnsiTheme="minorEastAsia" w:eastAsiaTheme="minorEastAsia" w:cstheme="minorEastAsia"/>
          <w:sz w:val="24"/>
          <w:szCs w:val="24"/>
        </w:rPr>
        <w:t>）消耗品或易耗品价格</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详见评分标准要求</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 xml:space="preserve">；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13</w:t>
      </w:r>
      <w:r>
        <w:rPr>
          <w:rFonts w:hint="eastAsia" w:asciiTheme="minorEastAsia" w:hAnsiTheme="minorEastAsia" w:eastAsiaTheme="minorEastAsia" w:cstheme="minorEastAsia"/>
          <w:sz w:val="24"/>
          <w:szCs w:val="24"/>
        </w:rPr>
        <w:t>）售后服务承诺书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14</w:t>
      </w:r>
      <w:r>
        <w:rPr>
          <w:rFonts w:hint="eastAsia" w:asciiTheme="minorEastAsia" w:hAnsiTheme="minorEastAsia" w:eastAsiaTheme="minorEastAsia" w:cstheme="minorEastAsia"/>
          <w:sz w:val="24"/>
          <w:szCs w:val="24"/>
        </w:rPr>
        <w:t>）业绩证明</w:t>
      </w:r>
      <w:r>
        <w:rPr>
          <w:rFonts w:hint="eastAsia" w:asciiTheme="minorEastAsia" w:hAnsiTheme="minorEastAsia" w:cstheme="minorEastAsia"/>
          <w:sz w:val="24"/>
          <w:szCs w:val="24"/>
          <w:lang w:eastAsia="zh-CN"/>
        </w:rPr>
        <w:t>，提供</w:t>
      </w:r>
      <w:r>
        <w:rPr>
          <w:rFonts w:hint="eastAsia" w:asciiTheme="minorEastAsia" w:hAnsiTheme="minorEastAsia" w:cstheme="minorEastAsia"/>
          <w:sz w:val="24"/>
          <w:szCs w:val="24"/>
          <w:lang w:val="en-US" w:eastAsia="zh-CN"/>
        </w:rPr>
        <w:t>5份销售</w:t>
      </w:r>
      <w:r>
        <w:rPr>
          <w:rFonts w:hint="eastAsia" w:asciiTheme="minorEastAsia" w:hAnsiTheme="minorEastAsia" w:cstheme="minorEastAsia"/>
          <w:sz w:val="24"/>
          <w:szCs w:val="24"/>
          <w:lang w:eastAsia="zh-CN"/>
        </w:rPr>
        <w:t>合同复印件带公章（</w:t>
      </w:r>
      <w:r>
        <w:rPr>
          <w:rFonts w:hint="eastAsia" w:asciiTheme="minorEastAsia" w:hAnsiTheme="minorEastAsia" w:eastAsiaTheme="minorEastAsia" w:cstheme="minorEastAsia"/>
          <w:sz w:val="24"/>
          <w:szCs w:val="24"/>
        </w:rPr>
        <w:t>详见评分标准要求</w:t>
      </w:r>
      <w:r>
        <w:rPr>
          <w:rFonts w:hint="eastAsia" w:asciiTheme="minorEastAsia" w:hAnsiTheme="minorEastAsia" w:cstheme="minorEastAsia"/>
          <w:sz w:val="24"/>
          <w:szCs w:val="24"/>
          <w:lang w:eastAsia="zh-CN"/>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15</w:t>
      </w:r>
      <w:r>
        <w:rPr>
          <w:rFonts w:hint="eastAsia" w:asciiTheme="minorEastAsia" w:hAnsiTheme="minorEastAsia" w:eastAsiaTheme="minorEastAsia" w:cstheme="minorEastAsia"/>
          <w:sz w:val="24"/>
          <w:szCs w:val="24"/>
        </w:rPr>
        <w:t>）投标人建议的安装、调试、验收方法或方案；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16</w:t>
      </w:r>
      <w:r>
        <w:rPr>
          <w:rFonts w:hint="eastAsia" w:asciiTheme="minorEastAsia" w:hAnsiTheme="minorEastAsia" w:eastAsiaTheme="minorEastAsia" w:cstheme="minorEastAsia"/>
          <w:sz w:val="24"/>
          <w:szCs w:val="24"/>
        </w:rPr>
        <w:t>）技术服务、技术培训的内容和措施；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17</w:t>
      </w:r>
      <w:r>
        <w:rPr>
          <w:rFonts w:hint="eastAsia" w:asciiTheme="minorEastAsia" w:hAnsiTheme="minorEastAsia" w:eastAsiaTheme="minorEastAsia" w:cstheme="minorEastAsia"/>
          <w:sz w:val="24"/>
          <w:szCs w:val="24"/>
        </w:rPr>
        <w:t>）维修能力</w:t>
      </w:r>
      <w:r>
        <w:rPr>
          <w:rFonts w:hint="eastAsia" w:asciiTheme="minorEastAsia" w:hAnsiTheme="minorEastAsia" w:cstheme="minorEastAsia"/>
          <w:sz w:val="24"/>
          <w:szCs w:val="24"/>
          <w:lang w:eastAsia="zh-CN"/>
        </w:rPr>
        <w:t>，提供省内维修服务地点和人员资料</w:t>
      </w:r>
      <w:r>
        <w:rPr>
          <w:rFonts w:hint="eastAsia" w:asciiTheme="minorEastAsia" w:hAnsiTheme="minorEastAsia" w:eastAsiaTheme="minorEastAsia" w:cstheme="minorEastAsia"/>
          <w:sz w:val="24"/>
          <w:szCs w:val="24"/>
        </w:rPr>
        <w:t>（详见评分标准要求）；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18</w:t>
      </w:r>
      <w:r>
        <w:rPr>
          <w:rFonts w:hint="eastAsia" w:asciiTheme="minorEastAsia" w:hAnsiTheme="minorEastAsia" w:eastAsiaTheme="minorEastAsia" w:cstheme="minorEastAsia"/>
          <w:sz w:val="24"/>
          <w:szCs w:val="24"/>
        </w:rPr>
        <w:t>）投标机型的彩页和原厂技术参数；</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19</w:t>
      </w:r>
      <w:r>
        <w:rPr>
          <w:rFonts w:hint="eastAsia" w:asciiTheme="minorEastAsia" w:hAnsiTheme="minorEastAsia" w:eastAsiaTheme="minorEastAsia" w:cstheme="minorEastAsia"/>
          <w:sz w:val="24"/>
          <w:szCs w:val="24"/>
        </w:rPr>
        <w:t>）评分方法中</w:t>
      </w:r>
      <w:r>
        <w:rPr>
          <w:rFonts w:hint="eastAsia" w:asciiTheme="minorEastAsia" w:hAnsiTheme="minorEastAsia" w:cstheme="minorEastAsia"/>
          <w:sz w:val="24"/>
          <w:szCs w:val="24"/>
          <w:lang w:eastAsia="zh-CN"/>
        </w:rPr>
        <w:t>需要提供</w:t>
      </w:r>
      <w:r>
        <w:rPr>
          <w:rFonts w:hint="eastAsia" w:asciiTheme="minorEastAsia" w:hAnsiTheme="minorEastAsia" w:eastAsiaTheme="minorEastAsia" w:cstheme="minorEastAsia"/>
          <w:sz w:val="24"/>
          <w:szCs w:val="24"/>
        </w:rPr>
        <w:t>的评审证明文件等；</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2" w:firstLineChars="196"/>
        <w:jc w:val="left"/>
        <w:rPr>
          <w:rFonts w:hint="eastAsia" w:asciiTheme="minorEastAsia" w:hAnsiTheme="minorEastAsia" w:eastAsiaTheme="minorEastAsia" w:cstheme="minorEastAsia"/>
          <w:b/>
          <w:bCs w:val="0"/>
          <w:sz w:val="24"/>
          <w:szCs w:val="24"/>
        </w:rPr>
      </w:pPr>
      <w:r>
        <w:rPr>
          <w:rFonts w:hint="eastAsia" w:asciiTheme="minorEastAsia" w:hAnsiTheme="minorEastAsia" w:cstheme="minorEastAsia"/>
          <w:b/>
          <w:bCs w:val="0"/>
          <w:sz w:val="24"/>
          <w:szCs w:val="24"/>
          <w:lang w:val="en-US" w:eastAsia="zh-CN"/>
        </w:rPr>
        <w:t>2</w:t>
      </w:r>
      <w:r>
        <w:rPr>
          <w:rFonts w:hint="eastAsia" w:asciiTheme="minorEastAsia" w:hAnsiTheme="minorEastAsia" w:eastAsiaTheme="minorEastAsia" w:cstheme="minorEastAsia"/>
          <w:b/>
          <w:bCs w:val="0"/>
          <w:sz w:val="24"/>
          <w:szCs w:val="24"/>
        </w:rPr>
        <w:t>.报价文件：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2"/>
          <w:rFonts w:hint="eastAsia" w:asciiTheme="minorEastAsia" w:hAnsiTheme="minorEastAsia" w:eastAsiaTheme="minorEastAsia" w:cstheme="minorEastAsia"/>
          <w:b/>
          <w:bCs/>
          <w:kern w:val="2"/>
          <w:sz w:val="28"/>
          <w:szCs w:val="28"/>
          <w:lang w:val="en-US" w:eastAsia="zh-CN" w:bidi="ar-SA"/>
        </w:rPr>
      </w:pPr>
      <w:r>
        <w:rPr>
          <w:rStyle w:val="12"/>
          <w:rFonts w:hint="eastAsia" w:asciiTheme="minorEastAsia" w:hAnsiTheme="minorEastAsia" w:eastAsiaTheme="minorEastAsia" w:cstheme="minorEastAsia"/>
          <w:b/>
          <w:bCs/>
          <w:kern w:val="2"/>
          <w:sz w:val="28"/>
          <w:szCs w:val="28"/>
          <w:lang w:val="en-US" w:eastAsia="zh-CN" w:bidi="ar-SA"/>
        </w:rPr>
        <w:t>商务、技术参数偏离表</w:t>
      </w:r>
    </w:p>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2"/>
          <w:rFonts w:hint="eastAsia" w:asciiTheme="minorEastAsia" w:hAnsiTheme="minorEastAsia" w:eastAsiaTheme="minorEastAsia" w:cstheme="minorEastAsia"/>
          <w:b/>
          <w:bCs/>
          <w:kern w:val="2"/>
          <w:sz w:val="28"/>
          <w:szCs w:val="28"/>
          <w:lang w:val="en-US" w:eastAsia="zh-CN" w:bidi="ar-SA"/>
        </w:rPr>
      </w:pPr>
      <w:r>
        <w:rPr>
          <w:rStyle w:val="12"/>
          <w:rFonts w:hint="eastAsia" w:asciiTheme="minorEastAsia" w:hAnsiTheme="minorEastAsia" w:cstheme="minorEastAsia"/>
          <w:b/>
          <w:bCs/>
          <w:kern w:val="2"/>
          <w:sz w:val="28"/>
          <w:szCs w:val="28"/>
          <w:lang w:val="en-US" w:eastAsia="zh-CN" w:bidi="ar-SA"/>
        </w:rPr>
        <w:t>标项一</w:t>
      </w:r>
    </w:p>
    <w:tbl>
      <w:tblPr>
        <w:tblStyle w:val="10"/>
        <w:tblpPr w:leftFromText="180" w:rightFromText="180" w:vertAnchor="page" w:horzAnchor="page" w:tblpX="1576" w:tblpY="7248"/>
        <w:tblOverlap w:val="never"/>
        <w:tblW w:w="99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7666"/>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36"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7666" w:type="dxa"/>
          </w:tcPr>
          <w:p>
            <w:pPr>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 xml:space="preserve">                 商务、技术参数要求</w:t>
            </w:r>
          </w:p>
        </w:tc>
        <w:tc>
          <w:tcPr>
            <w:tcW w:w="1320" w:type="dxa"/>
          </w:tcPr>
          <w:p>
            <w:pPr>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kern w:val="0"/>
                <w:sz w:val="24"/>
                <w:szCs w:val="24"/>
                <w:lang w:val="en-US" w:eastAsia="zh-CN"/>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6" w:type="dxa"/>
            <w:vAlign w:val="center"/>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一</w:t>
            </w:r>
          </w:p>
        </w:tc>
        <w:tc>
          <w:tcPr>
            <w:tcW w:w="7666" w:type="dxa"/>
            <w:vAlign w:val="top"/>
          </w:tcPr>
          <w:p>
            <w:pPr>
              <w:rPr>
                <w:rFonts w:hint="eastAsia" w:asciiTheme="minorEastAsia" w:hAnsiTheme="minorEastAsia" w:eastAsiaTheme="minorEastAsia" w:cstheme="minorEastAsia"/>
                <w:b/>
                <w:kern w:val="2"/>
                <w:sz w:val="24"/>
                <w:szCs w:val="24"/>
                <w:lang w:val="en-US" w:eastAsia="zh-CN" w:bidi="ar-SA"/>
              </w:rPr>
            </w:pPr>
            <w:r>
              <w:rPr>
                <w:rFonts w:hint="eastAsia" w:ascii="宋体" w:hAnsi="宋体"/>
                <w:b/>
                <w:sz w:val="24"/>
                <w:szCs w:val="24"/>
              </w:rPr>
              <w:t>总体要求</w:t>
            </w:r>
          </w:p>
        </w:tc>
        <w:tc>
          <w:tcPr>
            <w:tcW w:w="1320" w:type="dxa"/>
            <w:vAlign w:val="top"/>
          </w:tcPr>
          <w:p>
            <w:pPr>
              <w:rPr>
                <w:rFonts w:hint="eastAsia" w:asciiTheme="minorEastAsia" w:hAnsiTheme="minorEastAsia" w:eastAsiaTheme="minorEastAsia" w:cstheme="minorEastAsia"/>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3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auto"/>
                <w:kern w:val="0"/>
                <w:sz w:val="24"/>
                <w:szCs w:val="24"/>
                <w:u w:val="none"/>
                <w:lang w:val="en-US" w:eastAsia="zh-CN" w:bidi="ar"/>
              </w:rPr>
              <w:t>1.1</w:t>
            </w:r>
          </w:p>
        </w:tc>
        <w:tc>
          <w:tcPr>
            <w:tcW w:w="7666" w:type="dxa"/>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FF0000"/>
                <w:kern w:val="0"/>
                <w:sz w:val="24"/>
                <w:szCs w:val="24"/>
                <w:u w:val="none"/>
                <w:lang w:val="en-US" w:eastAsia="zh-CN" w:bidi="ar"/>
              </w:rPr>
            </w:pPr>
            <w:r>
              <w:rPr>
                <w:rFonts w:hint="eastAsia" w:ascii="宋体" w:hAnsi="宋体" w:eastAsia="宋体" w:cs="宋体"/>
                <w:b/>
                <w:sz w:val="24"/>
                <w:szCs w:val="24"/>
                <w:lang w:eastAsia="zh-CN"/>
              </w:rPr>
              <w:t>上肢</w:t>
            </w:r>
            <w:r>
              <w:rPr>
                <w:rFonts w:hint="eastAsia" w:ascii="宋体" w:hAnsi="宋体" w:eastAsia="宋体" w:cs="宋体"/>
                <w:b/>
                <w:sz w:val="24"/>
                <w:szCs w:val="24"/>
              </w:rPr>
              <w:t>智能康复训练系统</w:t>
            </w:r>
          </w:p>
        </w:tc>
        <w:tc>
          <w:tcPr>
            <w:tcW w:w="1320" w:type="dxa"/>
            <w:vAlign w:val="top"/>
          </w:tcPr>
          <w:p>
            <w:pPr>
              <w:jc w:val="left"/>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36"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7666"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i w:val="0"/>
                <w:iCs w:val="0"/>
                <w:color w:val="000000"/>
                <w:kern w:val="0"/>
                <w:sz w:val="24"/>
                <w:szCs w:val="24"/>
                <w:highlight w:val="none"/>
                <w:u w:val="none"/>
                <w:lang w:val="en-US" w:eastAsia="zh-CN" w:bidi="ar"/>
              </w:rPr>
              <w:t>设备用途：</w:t>
            </w:r>
            <w:r>
              <w:rPr>
                <w:rFonts w:hint="eastAsia" w:ascii="宋体" w:hAnsi="宋体" w:eastAsia="宋体" w:cs="宋体"/>
                <w:i w:val="0"/>
                <w:iCs w:val="0"/>
                <w:caps w:val="0"/>
                <w:color w:val="333333"/>
                <w:spacing w:val="0"/>
                <w:sz w:val="24"/>
                <w:szCs w:val="24"/>
                <w:shd w:val="clear" w:color="auto" w:fill="FFFFFF"/>
              </w:rPr>
              <w:t>适用于肢体障碍患者恢复期和后遗症期上肢肌力、肌耐力、关节活动度等功能训练</w:t>
            </w:r>
          </w:p>
        </w:tc>
        <w:tc>
          <w:tcPr>
            <w:tcW w:w="1320" w:type="dxa"/>
            <w:vAlign w:val="top"/>
          </w:tcPr>
          <w:p>
            <w:pPr>
              <w:jc w:val="left"/>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3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FF0000"/>
                <w:sz w:val="24"/>
                <w:szCs w:val="24"/>
              </w:rPr>
            </w:pPr>
            <w:r>
              <w:rPr>
                <w:rFonts w:hint="eastAsia" w:ascii="宋体" w:hAnsi="宋体" w:eastAsia="宋体" w:cs="宋体"/>
                <w:i w:val="0"/>
                <w:iCs w:val="0"/>
                <w:color w:val="000000"/>
                <w:kern w:val="0"/>
                <w:sz w:val="24"/>
                <w:szCs w:val="24"/>
                <w:u w:val="none"/>
                <w:lang w:val="en-US" w:eastAsia="zh-CN" w:bidi="ar"/>
              </w:rPr>
              <w:t>二</w:t>
            </w:r>
          </w:p>
        </w:tc>
        <w:tc>
          <w:tcPr>
            <w:tcW w:w="7666"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b/>
                <w:bCs/>
                <w:i w:val="0"/>
                <w:iCs w:val="0"/>
                <w:color w:val="000000"/>
                <w:kern w:val="0"/>
                <w:sz w:val="24"/>
                <w:szCs w:val="24"/>
                <w:u w:val="none"/>
                <w:lang w:val="en-US" w:eastAsia="zh-CN" w:bidi="ar"/>
              </w:rPr>
              <w:t>主要功能要求与技术参数</w:t>
            </w:r>
          </w:p>
        </w:tc>
        <w:tc>
          <w:tcPr>
            <w:tcW w:w="1320" w:type="dxa"/>
            <w:vAlign w:val="center"/>
          </w:tcPr>
          <w:p>
            <w:pPr>
              <w:jc w:val="left"/>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2.1</w:t>
            </w:r>
          </w:p>
        </w:tc>
        <w:tc>
          <w:tcPr>
            <w:tcW w:w="7666"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sz w:val="24"/>
              </w:rPr>
              <w:t>智能康复训练系统造型美观、稳固、大方、实用。针对患者训练的安全性和稳定性设备做了配重设计和防滑设计</w:t>
            </w:r>
          </w:p>
        </w:tc>
        <w:tc>
          <w:tcPr>
            <w:tcW w:w="1320" w:type="dxa"/>
            <w:vAlign w:val="top"/>
          </w:tcPr>
          <w:p>
            <w:pPr>
              <w:jc w:val="left"/>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2.2</w:t>
            </w:r>
          </w:p>
        </w:tc>
        <w:tc>
          <w:tcPr>
            <w:tcW w:w="7666"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sz w:val="24"/>
              </w:rPr>
              <w:t>系统电机动力系统运动时有力且平稳，使智能康复训练系统在患者训练时安全有保证，使设备的各项功能指标都能正确运行</w:t>
            </w:r>
          </w:p>
        </w:tc>
        <w:tc>
          <w:tcPr>
            <w:tcW w:w="1320" w:type="dxa"/>
            <w:vAlign w:val="top"/>
          </w:tcPr>
          <w:p>
            <w:pPr>
              <w:jc w:val="left"/>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left"/>
              <w:textAlignment w:val="top"/>
              <w:rPr>
                <w:rFonts w:hint="eastAsia" w:ascii="宋体" w:hAnsi="宋体"/>
                <w:color w:val="FF0000"/>
                <w:sz w:val="24"/>
                <w:szCs w:val="24"/>
              </w:rPr>
            </w:pPr>
            <w:r>
              <w:rPr>
                <w:rFonts w:hint="eastAsia" w:ascii="宋体" w:hAnsi="宋体" w:eastAsia="宋体" w:cs="宋体"/>
                <w:i w:val="0"/>
                <w:iCs w:val="0"/>
                <w:color w:val="000000"/>
                <w:kern w:val="0"/>
                <w:sz w:val="24"/>
                <w:szCs w:val="24"/>
                <w:u w:val="none"/>
                <w:lang w:val="en-US" w:eastAsia="zh-CN" w:bidi="ar"/>
              </w:rPr>
              <w:t>2.3</w:t>
            </w:r>
          </w:p>
        </w:tc>
        <w:tc>
          <w:tcPr>
            <w:tcW w:w="7666" w:type="dxa"/>
            <w:vAlign w:val="top"/>
          </w:tcPr>
          <w:p>
            <w:pPr>
              <w:keepNext w:val="0"/>
              <w:keepLines w:val="0"/>
              <w:widowControl/>
              <w:suppressLineNumbers w:val="0"/>
              <w:jc w:val="left"/>
              <w:textAlignment w:val="top"/>
              <w:rPr>
                <w:rFonts w:hint="eastAsia" w:ascii="宋体" w:hAnsi="宋体"/>
                <w:color w:val="FF0000"/>
                <w:sz w:val="24"/>
                <w:szCs w:val="24"/>
              </w:rPr>
            </w:pPr>
            <w:r>
              <w:rPr>
                <w:rFonts w:hint="eastAsia" w:ascii="宋体" w:hAnsi="宋体" w:eastAsia="宋体" w:cs="宋体"/>
                <w:sz w:val="24"/>
              </w:rPr>
              <w:t>智能康复训练系统动力系统采用特殊结构设计，使智能康复训练系统动力系统使用寿命长</w:t>
            </w:r>
          </w:p>
        </w:tc>
        <w:tc>
          <w:tcPr>
            <w:tcW w:w="1320" w:type="dxa"/>
            <w:vAlign w:val="top"/>
          </w:tcPr>
          <w:p>
            <w:pPr>
              <w:jc w:val="left"/>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2.4</w:t>
            </w:r>
          </w:p>
        </w:tc>
        <w:tc>
          <w:tcPr>
            <w:tcW w:w="7666"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highlight w:val="none"/>
              </w:rPr>
            </w:pPr>
            <w:r>
              <w:rPr>
                <w:rFonts w:hint="eastAsia" w:ascii="宋体" w:hAnsi="宋体" w:eastAsia="宋体" w:cs="宋体"/>
                <w:sz w:val="24"/>
              </w:rPr>
              <w:t>具有患者从完全被动训练阶段到主动和被动训练相交叉的助力训练阶段到完全的主动训练阶段到初期主动力量训练阶段的患者康复过程</w:t>
            </w:r>
          </w:p>
        </w:tc>
        <w:tc>
          <w:tcPr>
            <w:tcW w:w="1320" w:type="dxa"/>
            <w:vAlign w:val="top"/>
          </w:tcPr>
          <w:p>
            <w:pPr>
              <w:jc w:val="left"/>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2.5</w:t>
            </w:r>
          </w:p>
        </w:tc>
        <w:tc>
          <w:tcPr>
            <w:tcW w:w="7666"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sz w:val="24"/>
                <w:szCs w:val="24"/>
              </w:rPr>
              <w:t>系统采用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10.4寸</w:t>
            </w:r>
            <w:r>
              <w:rPr>
                <w:rFonts w:hint="eastAsia" w:ascii="宋体" w:hAnsi="宋体" w:eastAsia="宋体" w:cs="宋体"/>
                <w:sz w:val="24"/>
                <w:szCs w:val="24"/>
              </w:rPr>
              <w:t>彩色</w:t>
            </w:r>
            <w:r>
              <w:rPr>
                <w:rFonts w:hint="eastAsia" w:ascii="宋体" w:hAnsi="宋体" w:eastAsia="宋体" w:cs="宋体"/>
                <w:sz w:val="24"/>
                <w:szCs w:val="24"/>
                <w:lang w:eastAsia="zh-CN"/>
              </w:rPr>
              <w:t>液晶触摸屏</w:t>
            </w:r>
            <w:r>
              <w:rPr>
                <w:rFonts w:hint="eastAsia" w:ascii="宋体" w:hAnsi="宋体" w:eastAsia="宋体" w:cs="宋体"/>
                <w:sz w:val="24"/>
                <w:szCs w:val="24"/>
              </w:rPr>
              <w:t>显示技术且一目了然的控制面板的设计，使医务工作者能轻松容易的掌握</w:t>
            </w:r>
          </w:p>
        </w:tc>
        <w:tc>
          <w:tcPr>
            <w:tcW w:w="1320" w:type="dxa"/>
            <w:vAlign w:val="top"/>
          </w:tcPr>
          <w:p>
            <w:pPr>
              <w:jc w:val="left"/>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auto"/>
                <w:sz w:val="24"/>
                <w:szCs w:val="24"/>
                <w:lang w:val="en-US" w:eastAsia="zh-CN"/>
              </w:rPr>
            </w:pPr>
            <w:r>
              <w:rPr>
                <w:rFonts w:hint="eastAsia" w:ascii="宋体" w:hAnsi="宋体"/>
                <w:color w:val="auto"/>
                <w:sz w:val="24"/>
                <w:szCs w:val="24"/>
              </w:rPr>
              <w:t>★</w:t>
            </w:r>
            <w:r>
              <w:rPr>
                <w:rFonts w:hint="eastAsia" w:ascii="宋体" w:hAnsi="宋体" w:eastAsia="宋体" w:cs="宋体"/>
                <w:i w:val="0"/>
                <w:iCs w:val="0"/>
                <w:color w:val="auto"/>
                <w:kern w:val="0"/>
                <w:sz w:val="24"/>
                <w:szCs w:val="24"/>
                <w:u w:val="none"/>
                <w:lang w:val="en-US" w:eastAsia="zh-CN" w:bidi="ar"/>
              </w:rPr>
              <w:t>2.6</w:t>
            </w:r>
          </w:p>
        </w:tc>
        <w:tc>
          <w:tcPr>
            <w:tcW w:w="7666"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sz w:val="24"/>
              </w:rPr>
              <w:t>系统具有六种针对性的训练模式：神经模式、骨科模式、心肺模式、反馈模式、被动模式、游戏模式</w:t>
            </w:r>
          </w:p>
        </w:tc>
        <w:tc>
          <w:tcPr>
            <w:tcW w:w="1320" w:type="dxa"/>
            <w:vAlign w:val="top"/>
          </w:tcPr>
          <w:p>
            <w:pPr>
              <w:jc w:val="left"/>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auto"/>
                <w:sz w:val="24"/>
                <w:szCs w:val="24"/>
                <w:lang w:val="en-US" w:eastAsia="zh-CN"/>
              </w:rPr>
            </w:pPr>
            <w:r>
              <w:rPr>
                <w:rFonts w:hint="eastAsia" w:ascii="宋体" w:hAnsi="宋体"/>
                <w:color w:val="auto"/>
                <w:sz w:val="24"/>
                <w:szCs w:val="24"/>
              </w:rPr>
              <w:t>★</w:t>
            </w:r>
            <w:r>
              <w:rPr>
                <w:rFonts w:hint="eastAsia" w:ascii="宋体" w:hAnsi="宋体" w:eastAsia="宋体" w:cs="宋体"/>
                <w:i w:val="0"/>
                <w:iCs w:val="0"/>
                <w:color w:val="auto"/>
                <w:kern w:val="0"/>
                <w:sz w:val="24"/>
                <w:szCs w:val="24"/>
                <w:u w:val="none"/>
                <w:lang w:val="en-US" w:eastAsia="zh-CN" w:bidi="ar"/>
              </w:rPr>
              <w:t>2.7</w:t>
            </w:r>
          </w:p>
        </w:tc>
        <w:tc>
          <w:tcPr>
            <w:tcW w:w="7666"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sz w:val="24"/>
              </w:rPr>
              <w:t>系统具有四种患者训练安全保护功能：痉挛保护、声控保护、靶心率保护、磁控保护。且痉挛敏感等级、声控敏感等级和靶心率目标数值均可调</w:t>
            </w:r>
          </w:p>
        </w:tc>
        <w:tc>
          <w:tcPr>
            <w:tcW w:w="1320" w:type="dxa"/>
            <w:vAlign w:val="top"/>
          </w:tcPr>
          <w:p>
            <w:pPr>
              <w:jc w:val="left"/>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7666"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sz w:val="24"/>
                <w:szCs w:val="24"/>
              </w:rPr>
              <w:t>参</w:t>
            </w:r>
            <w:r>
              <w:rPr>
                <w:rFonts w:hint="eastAsia" w:ascii="宋体" w:hAnsi="宋体" w:eastAsia="宋体" w:cs="宋体"/>
                <w:sz w:val="24"/>
              </w:rPr>
              <w:t>数可调：</w:t>
            </w:r>
          </w:p>
        </w:tc>
        <w:tc>
          <w:tcPr>
            <w:tcW w:w="1320" w:type="dxa"/>
            <w:vAlign w:val="top"/>
          </w:tcPr>
          <w:p>
            <w:pPr>
              <w:jc w:val="left"/>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3.1</w:t>
            </w:r>
          </w:p>
        </w:tc>
        <w:tc>
          <w:tcPr>
            <w:tcW w:w="7666" w:type="dxa"/>
            <w:vAlign w:val="top"/>
          </w:tcPr>
          <w:p>
            <w:pPr>
              <w:numPr>
                <w:ilvl w:val="0"/>
                <w:numId w:val="0"/>
              </w:numPr>
              <w:spacing w:line="360" w:lineRule="exact"/>
              <w:ind w:left="0" w:leftChars="0" w:firstLine="0" w:firstLineChars="0"/>
              <w:jc w:val="left"/>
              <w:rPr>
                <w:rFonts w:hint="eastAsia" w:asciiTheme="minorEastAsia" w:hAnsiTheme="minorEastAsia" w:eastAsiaTheme="minorEastAsia" w:cstheme="minorEastAsia"/>
                <w:color w:val="FF0000"/>
                <w:sz w:val="24"/>
                <w:szCs w:val="24"/>
              </w:rPr>
            </w:pPr>
            <w:r>
              <w:rPr>
                <w:rFonts w:hint="eastAsia" w:ascii="宋体" w:hAnsi="宋体" w:eastAsia="宋体" w:cs="宋体"/>
                <w:sz w:val="24"/>
              </w:rPr>
              <w:t>AC220V±10%   50Hz；</w:t>
            </w:r>
          </w:p>
        </w:tc>
        <w:tc>
          <w:tcPr>
            <w:tcW w:w="1320" w:type="dxa"/>
            <w:vAlign w:val="top"/>
          </w:tcPr>
          <w:p>
            <w:pPr>
              <w:jc w:val="left"/>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3.2 </w:t>
            </w:r>
          </w:p>
        </w:tc>
        <w:tc>
          <w:tcPr>
            <w:tcW w:w="7666" w:type="dxa"/>
            <w:vAlign w:val="top"/>
          </w:tcPr>
          <w:p>
            <w:pPr>
              <w:numPr>
                <w:ilvl w:val="0"/>
                <w:numId w:val="0"/>
              </w:numPr>
              <w:spacing w:line="360" w:lineRule="exact"/>
              <w:ind w:left="0" w:leftChars="0" w:firstLine="0" w:firstLineChars="0"/>
              <w:jc w:val="left"/>
              <w:rPr>
                <w:rFonts w:hint="eastAsia" w:asciiTheme="minorEastAsia" w:hAnsiTheme="minorEastAsia" w:eastAsiaTheme="minorEastAsia" w:cstheme="minorEastAsia"/>
                <w:color w:val="FF0000"/>
                <w:sz w:val="24"/>
                <w:szCs w:val="24"/>
              </w:rPr>
            </w:pPr>
            <w:r>
              <w:rPr>
                <w:rFonts w:hint="eastAsia" w:ascii="宋体" w:hAnsi="宋体" w:eastAsia="宋体" w:cs="宋体"/>
                <w:sz w:val="24"/>
              </w:rPr>
              <w:t>输入功率：下肢&lt;</w:t>
            </w:r>
            <w:r>
              <w:rPr>
                <w:rFonts w:hint="eastAsia" w:ascii="宋体" w:hAnsi="宋体" w:eastAsia="宋体" w:cs="宋体"/>
                <w:sz w:val="24"/>
                <w:lang w:val="en-US" w:eastAsia="zh-CN"/>
              </w:rPr>
              <w:t>5</w:t>
            </w:r>
            <w:r>
              <w:rPr>
                <w:rFonts w:hint="eastAsia" w:ascii="宋体" w:hAnsi="宋体" w:eastAsia="宋体" w:cs="宋体"/>
                <w:sz w:val="24"/>
              </w:rPr>
              <w:t>00VA；</w:t>
            </w:r>
          </w:p>
        </w:tc>
        <w:tc>
          <w:tcPr>
            <w:tcW w:w="1320" w:type="dxa"/>
            <w:vAlign w:val="top"/>
          </w:tcPr>
          <w:p>
            <w:pPr>
              <w:jc w:val="lef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3.3</w:t>
            </w:r>
          </w:p>
        </w:tc>
        <w:tc>
          <w:tcPr>
            <w:tcW w:w="7666" w:type="dxa"/>
            <w:vAlign w:val="top"/>
          </w:tcPr>
          <w:p>
            <w:pPr>
              <w:numPr>
                <w:ilvl w:val="0"/>
                <w:numId w:val="0"/>
              </w:numPr>
              <w:spacing w:line="360" w:lineRule="exact"/>
              <w:ind w:left="0" w:leftChars="0" w:firstLine="0" w:firstLineChars="0"/>
              <w:jc w:val="left"/>
              <w:rPr>
                <w:rFonts w:hint="eastAsia" w:asciiTheme="minorEastAsia" w:hAnsiTheme="minorEastAsia" w:eastAsiaTheme="minorEastAsia" w:cstheme="minorEastAsia"/>
                <w:color w:val="FF0000"/>
                <w:sz w:val="24"/>
                <w:szCs w:val="24"/>
              </w:rPr>
            </w:pPr>
            <w:r>
              <w:rPr>
                <w:rFonts w:hint="eastAsia" w:ascii="宋体" w:hAnsi="宋体" w:eastAsia="宋体" w:cs="宋体"/>
                <w:sz w:val="24"/>
              </w:rPr>
              <w:t>熔断器：F1AL250V,F3AL250V；</w:t>
            </w:r>
          </w:p>
        </w:tc>
        <w:tc>
          <w:tcPr>
            <w:tcW w:w="1320" w:type="dxa"/>
            <w:vAlign w:val="top"/>
          </w:tcPr>
          <w:p>
            <w:pPr>
              <w:jc w:val="lef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left"/>
              <w:textAlignment w:val="top"/>
              <w:rPr>
                <w:rFonts w:hint="eastAsia" w:ascii="宋体" w:hAnsi="宋体"/>
                <w:color w:val="FF0000"/>
                <w:sz w:val="24"/>
                <w:szCs w:val="24"/>
              </w:rPr>
            </w:pPr>
            <w:r>
              <w:rPr>
                <w:rFonts w:hint="eastAsia" w:ascii="宋体" w:hAnsi="宋体" w:eastAsia="宋体" w:cs="宋体"/>
                <w:i w:val="0"/>
                <w:iCs w:val="0"/>
                <w:color w:val="000000"/>
                <w:kern w:val="0"/>
                <w:sz w:val="24"/>
                <w:szCs w:val="24"/>
                <w:u w:val="none"/>
                <w:lang w:val="en-US" w:eastAsia="zh-CN" w:bidi="ar"/>
              </w:rPr>
              <w:t>3.4</w:t>
            </w:r>
          </w:p>
        </w:tc>
        <w:tc>
          <w:tcPr>
            <w:tcW w:w="7666" w:type="dxa"/>
            <w:vAlign w:val="top"/>
          </w:tcPr>
          <w:p>
            <w:pPr>
              <w:numPr>
                <w:ilvl w:val="0"/>
                <w:numId w:val="0"/>
              </w:numPr>
              <w:spacing w:line="360" w:lineRule="exact"/>
              <w:ind w:left="0" w:leftChars="0" w:firstLine="0" w:firstLineChars="0"/>
              <w:jc w:val="left"/>
              <w:rPr>
                <w:rFonts w:ascii="宋体" w:hAnsi="宋体"/>
                <w:color w:val="FF0000"/>
                <w:sz w:val="24"/>
                <w:szCs w:val="24"/>
              </w:rPr>
            </w:pPr>
            <w:r>
              <w:rPr>
                <w:rFonts w:hint="eastAsia" w:ascii="宋体" w:hAnsi="宋体" w:eastAsia="宋体" w:cs="宋体"/>
                <w:sz w:val="24"/>
              </w:rPr>
              <w:t>定时范围：2～120min±1min；</w:t>
            </w:r>
          </w:p>
        </w:tc>
        <w:tc>
          <w:tcPr>
            <w:tcW w:w="1320" w:type="dxa"/>
            <w:vAlign w:val="top"/>
          </w:tcPr>
          <w:p>
            <w:pPr>
              <w:jc w:val="lef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left"/>
              <w:textAlignment w:val="top"/>
              <w:rPr>
                <w:rFonts w:hint="eastAsia" w:ascii="宋体" w:hAnsi="宋体"/>
                <w:color w:val="FF0000"/>
                <w:sz w:val="24"/>
                <w:szCs w:val="24"/>
              </w:rPr>
            </w:pPr>
            <w:r>
              <w:rPr>
                <w:rFonts w:hint="eastAsia" w:ascii="宋体" w:hAnsi="宋体" w:eastAsia="宋体" w:cs="宋体"/>
                <w:i w:val="0"/>
                <w:iCs w:val="0"/>
                <w:color w:val="000000"/>
                <w:kern w:val="0"/>
                <w:sz w:val="24"/>
                <w:szCs w:val="24"/>
                <w:u w:val="none"/>
                <w:lang w:val="en-US" w:eastAsia="zh-CN" w:bidi="ar"/>
              </w:rPr>
              <w:t xml:space="preserve">3.5 </w:t>
            </w:r>
          </w:p>
        </w:tc>
        <w:tc>
          <w:tcPr>
            <w:tcW w:w="7666" w:type="dxa"/>
            <w:vAlign w:val="top"/>
          </w:tcPr>
          <w:p>
            <w:pPr>
              <w:numPr>
                <w:ilvl w:val="0"/>
                <w:numId w:val="0"/>
              </w:numPr>
              <w:spacing w:line="360" w:lineRule="exact"/>
              <w:ind w:left="0" w:leftChars="0" w:firstLine="0" w:firstLineChars="0"/>
              <w:jc w:val="left"/>
              <w:rPr>
                <w:rFonts w:ascii="宋体" w:hAnsi="宋体"/>
                <w:color w:val="FF0000"/>
                <w:sz w:val="24"/>
                <w:szCs w:val="24"/>
              </w:rPr>
            </w:pPr>
            <w:r>
              <w:rPr>
                <w:rFonts w:hint="eastAsia" w:ascii="宋体" w:hAnsi="宋体" w:eastAsia="宋体" w:cs="宋体"/>
                <w:sz w:val="24"/>
              </w:rPr>
              <w:t>速度显示范围：0-99r/min±10%；</w:t>
            </w:r>
          </w:p>
        </w:tc>
        <w:tc>
          <w:tcPr>
            <w:tcW w:w="1320" w:type="dxa"/>
            <w:vAlign w:val="top"/>
          </w:tcPr>
          <w:p>
            <w:pPr>
              <w:jc w:val="lef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left"/>
              <w:textAlignment w:val="top"/>
              <w:rPr>
                <w:rFonts w:hint="eastAsia" w:ascii="宋体" w:hAnsi="宋体"/>
                <w:color w:val="FF0000"/>
                <w:sz w:val="24"/>
                <w:szCs w:val="24"/>
              </w:rPr>
            </w:pPr>
            <w:r>
              <w:rPr>
                <w:rFonts w:hint="eastAsia" w:ascii="宋体" w:hAnsi="宋体" w:eastAsia="宋体" w:cs="宋体"/>
                <w:i w:val="0"/>
                <w:iCs w:val="0"/>
                <w:color w:val="000000"/>
                <w:kern w:val="0"/>
                <w:sz w:val="24"/>
                <w:szCs w:val="24"/>
                <w:u w:val="none"/>
                <w:lang w:val="en-US" w:eastAsia="zh-CN" w:bidi="ar"/>
              </w:rPr>
              <w:t xml:space="preserve">3.6 </w:t>
            </w:r>
          </w:p>
        </w:tc>
        <w:tc>
          <w:tcPr>
            <w:tcW w:w="7666" w:type="dxa"/>
            <w:vAlign w:val="top"/>
          </w:tcPr>
          <w:p>
            <w:pPr>
              <w:numPr>
                <w:ilvl w:val="0"/>
                <w:numId w:val="0"/>
              </w:numPr>
              <w:spacing w:line="360" w:lineRule="exact"/>
              <w:ind w:left="0" w:leftChars="0" w:firstLine="0" w:firstLineChars="0"/>
              <w:jc w:val="left"/>
              <w:rPr>
                <w:rFonts w:ascii="宋体" w:hAnsi="宋体"/>
                <w:color w:val="FF0000"/>
                <w:sz w:val="24"/>
                <w:szCs w:val="24"/>
              </w:rPr>
            </w:pPr>
            <w:r>
              <w:rPr>
                <w:rFonts w:hint="eastAsia" w:ascii="宋体" w:hAnsi="宋体" w:eastAsia="宋体" w:cs="宋体"/>
                <w:sz w:val="24"/>
              </w:rPr>
              <w:t>速度设定范围：0-60r/min±10%；</w:t>
            </w:r>
          </w:p>
        </w:tc>
        <w:tc>
          <w:tcPr>
            <w:tcW w:w="1320" w:type="dxa"/>
            <w:vAlign w:val="top"/>
          </w:tcPr>
          <w:p>
            <w:pPr>
              <w:jc w:val="lef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left"/>
              <w:textAlignment w:val="top"/>
              <w:rPr>
                <w:rFonts w:hint="eastAsia" w:ascii="宋体" w:hAnsi="宋体"/>
                <w:color w:val="FF0000"/>
                <w:sz w:val="24"/>
                <w:szCs w:val="24"/>
              </w:rPr>
            </w:pPr>
            <w:r>
              <w:rPr>
                <w:rFonts w:hint="eastAsia" w:ascii="宋体" w:hAnsi="宋体" w:eastAsia="宋体" w:cs="宋体"/>
                <w:i w:val="0"/>
                <w:iCs w:val="0"/>
                <w:color w:val="000000"/>
                <w:kern w:val="0"/>
                <w:sz w:val="24"/>
                <w:szCs w:val="24"/>
                <w:u w:val="none"/>
                <w:lang w:val="en-US" w:eastAsia="zh-CN" w:bidi="ar"/>
              </w:rPr>
              <w:t xml:space="preserve">3.7 </w:t>
            </w:r>
          </w:p>
        </w:tc>
        <w:tc>
          <w:tcPr>
            <w:tcW w:w="7666" w:type="dxa"/>
            <w:vAlign w:val="top"/>
          </w:tcPr>
          <w:p>
            <w:pPr>
              <w:numPr>
                <w:ilvl w:val="0"/>
                <w:numId w:val="0"/>
              </w:numPr>
              <w:spacing w:line="360" w:lineRule="exact"/>
              <w:ind w:left="0" w:leftChars="0" w:firstLine="0" w:firstLineChars="0"/>
              <w:jc w:val="left"/>
              <w:rPr>
                <w:rFonts w:ascii="宋体" w:hAnsi="宋体"/>
                <w:color w:val="FF0000"/>
                <w:sz w:val="24"/>
                <w:szCs w:val="24"/>
              </w:rPr>
            </w:pPr>
            <w:r>
              <w:rPr>
                <w:rFonts w:hint="eastAsia" w:ascii="宋体" w:hAnsi="宋体" w:eastAsia="宋体" w:cs="宋体"/>
                <w:sz w:val="24"/>
              </w:rPr>
              <w:t>角度设定范围：0-330度±5；</w:t>
            </w:r>
          </w:p>
        </w:tc>
        <w:tc>
          <w:tcPr>
            <w:tcW w:w="1320" w:type="dxa"/>
            <w:vAlign w:val="top"/>
          </w:tcPr>
          <w:p>
            <w:pPr>
              <w:jc w:val="lef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left"/>
              <w:textAlignment w:val="top"/>
              <w:rPr>
                <w:rFonts w:hint="eastAsia" w:ascii="宋体" w:hAnsi="宋体"/>
                <w:color w:val="FF0000"/>
                <w:sz w:val="24"/>
                <w:szCs w:val="24"/>
              </w:rPr>
            </w:pPr>
            <w:r>
              <w:rPr>
                <w:rFonts w:hint="eastAsia" w:ascii="宋体" w:hAnsi="宋体" w:eastAsia="宋体" w:cs="宋体"/>
                <w:i w:val="0"/>
                <w:iCs w:val="0"/>
                <w:color w:val="000000"/>
                <w:kern w:val="0"/>
                <w:sz w:val="24"/>
                <w:szCs w:val="24"/>
                <w:u w:val="none"/>
                <w:lang w:val="en-US" w:eastAsia="zh-CN" w:bidi="ar"/>
              </w:rPr>
              <w:t>3.8</w:t>
            </w:r>
          </w:p>
        </w:tc>
        <w:tc>
          <w:tcPr>
            <w:tcW w:w="7666" w:type="dxa"/>
            <w:vAlign w:val="top"/>
          </w:tcPr>
          <w:p>
            <w:pPr>
              <w:numPr>
                <w:ilvl w:val="0"/>
                <w:numId w:val="0"/>
              </w:numPr>
              <w:spacing w:line="360" w:lineRule="exact"/>
              <w:ind w:left="0" w:leftChars="0" w:firstLine="0" w:firstLineChars="0"/>
              <w:jc w:val="left"/>
              <w:rPr>
                <w:rFonts w:ascii="宋体" w:hAnsi="宋体"/>
                <w:color w:val="FF0000"/>
                <w:sz w:val="24"/>
                <w:szCs w:val="24"/>
              </w:rPr>
            </w:pPr>
            <w:r>
              <w:rPr>
                <w:rFonts w:hint="eastAsia" w:ascii="宋体" w:hAnsi="宋体" w:eastAsia="宋体" w:cs="宋体"/>
                <w:sz w:val="24"/>
              </w:rPr>
              <w:t>阻力设定等级：1-20；</w:t>
            </w:r>
          </w:p>
        </w:tc>
        <w:tc>
          <w:tcPr>
            <w:tcW w:w="1320" w:type="dxa"/>
            <w:vAlign w:val="top"/>
          </w:tcPr>
          <w:p>
            <w:pPr>
              <w:jc w:val="lef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left"/>
              <w:textAlignment w:val="top"/>
              <w:rPr>
                <w:rFonts w:hint="eastAsia" w:ascii="宋体" w:hAnsi="宋体"/>
                <w:color w:val="FF0000"/>
                <w:sz w:val="24"/>
                <w:szCs w:val="24"/>
              </w:rPr>
            </w:pPr>
            <w:r>
              <w:rPr>
                <w:rFonts w:hint="eastAsia" w:ascii="宋体" w:hAnsi="宋体" w:eastAsia="宋体" w:cs="宋体"/>
                <w:i w:val="0"/>
                <w:iCs w:val="0"/>
                <w:color w:val="000000"/>
                <w:kern w:val="0"/>
                <w:sz w:val="24"/>
                <w:szCs w:val="24"/>
                <w:u w:val="none"/>
                <w:lang w:val="en-US" w:eastAsia="zh-CN" w:bidi="ar"/>
              </w:rPr>
              <w:t xml:space="preserve">3.9 </w:t>
            </w:r>
          </w:p>
        </w:tc>
        <w:tc>
          <w:tcPr>
            <w:tcW w:w="7666" w:type="dxa"/>
            <w:vAlign w:val="top"/>
          </w:tcPr>
          <w:p>
            <w:pPr>
              <w:numPr>
                <w:ilvl w:val="0"/>
                <w:numId w:val="0"/>
              </w:numPr>
              <w:spacing w:line="360" w:lineRule="exact"/>
              <w:ind w:left="0" w:leftChars="0" w:firstLine="0" w:firstLineChars="0"/>
              <w:jc w:val="left"/>
              <w:rPr>
                <w:rFonts w:ascii="宋体" w:hAnsi="宋体"/>
                <w:color w:val="FF0000"/>
                <w:sz w:val="24"/>
                <w:szCs w:val="24"/>
              </w:rPr>
            </w:pPr>
            <w:r>
              <w:rPr>
                <w:rFonts w:hint="eastAsia" w:ascii="宋体" w:hAnsi="宋体" w:eastAsia="宋体" w:cs="宋体"/>
                <w:sz w:val="24"/>
              </w:rPr>
              <w:t>阻力力矩：0-20Nm</w:t>
            </w:r>
          </w:p>
        </w:tc>
        <w:tc>
          <w:tcPr>
            <w:tcW w:w="1320" w:type="dxa"/>
            <w:vAlign w:val="top"/>
          </w:tcPr>
          <w:p>
            <w:pPr>
              <w:jc w:val="lef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left"/>
              <w:textAlignment w:val="top"/>
              <w:rPr>
                <w:rFonts w:hint="eastAsia" w:ascii="宋体" w:hAnsi="宋体"/>
                <w:color w:val="FF0000"/>
                <w:sz w:val="24"/>
                <w:szCs w:val="24"/>
              </w:rPr>
            </w:pPr>
            <w:r>
              <w:rPr>
                <w:rFonts w:hint="eastAsia" w:ascii="宋体" w:hAnsi="宋体" w:eastAsia="宋体" w:cs="宋体"/>
                <w:i w:val="0"/>
                <w:iCs w:val="0"/>
                <w:color w:val="000000"/>
                <w:kern w:val="0"/>
                <w:sz w:val="24"/>
                <w:szCs w:val="24"/>
                <w:u w:val="none"/>
                <w:lang w:val="en-US" w:eastAsia="zh-CN" w:bidi="ar"/>
              </w:rPr>
              <w:t xml:space="preserve">3.10 </w:t>
            </w:r>
          </w:p>
        </w:tc>
        <w:tc>
          <w:tcPr>
            <w:tcW w:w="7666" w:type="dxa"/>
            <w:vAlign w:val="top"/>
          </w:tcPr>
          <w:p>
            <w:pPr>
              <w:numPr>
                <w:ilvl w:val="0"/>
                <w:numId w:val="0"/>
              </w:numPr>
              <w:spacing w:line="360" w:lineRule="exact"/>
              <w:ind w:left="0" w:leftChars="0" w:firstLine="0" w:firstLineChars="0"/>
              <w:jc w:val="left"/>
              <w:rPr>
                <w:rFonts w:ascii="宋体" w:hAnsi="宋体"/>
                <w:color w:val="FF0000"/>
                <w:sz w:val="24"/>
                <w:szCs w:val="24"/>
              </w:rPr>
            </w:pPr>
            <w:r>
              <w:rPr>
                <w:rFonts w:hint="eastAsia" w:ascii="宋体" w:hAnsi="宋体" w:eastAsia="宋体" w:cs="宋体"/>
                <w:sz w:val="24"/>
              </w:rPr>
              <w:t>心率设定范围：0-150（设定级数每次5），精度±5次/min</w:t>
            </w:r>
          </w:p>
        </w:tc>
        <w:tc>
          <w:tcPr>
            <w:tcW w:w="1320" w:type="dxa"/>
            <w:vAlign w:val="top"/>
          </w:tcPr>
          <w:p>
            <w:pPr>
              <w:jc w:val="lef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left"/>
              <w:textAlignment w:val="top"/>
              <w:rPr>
                <w:rFonts w:hint="eastAsia" w:ascii="宋体" w:hAnsi="宋体"/>
                <w:color w:val="FF0000"/>
                <w:sz w:val="24"/>
                <w:szCs w:val="24"/>
              </w:rPr>
            </w:pPr>
            <w:r>
              <w:rPr>
                <w:rFonts w:hint="eastAsia" w:ascii="宋体" w:hAnsi="宋体" w:eastAsia="宋体" w:cs="宋体"/>
                <w:i w:val="0"/>
                <w:iCs w:val="0"/>
                <w:color w:val="000000"/>
                <w:kern w:val="0"/>
                <w:sz w:val="24"/>
                <w:szCs w:val="24"/>
                <w:u w:val="none"/>
                <w:lang w:val="en-US" w:eastAsia="zh-CN" w:bidi="ar"/>
              </w:rPr>
              <w:t xml:space="preserve">3.11 </w:t>
            </w:r>
          </w:p>
        </w:tc>
        <w:tc>
          <w:tcPr>
            <w:tcW w:w="7666" w:type="dxa"/>
            <w:vAlign w:val="top"/>
          </w:tcPr>
          <w:p>
            <w:pPr>
              <w:keepNext w:val="0"/>
              <w:keepLines w:val="0"/>
              <w:widowControl/>
              <w:suppressLineNumbers w:val="0"/>
              <w:jc w:val="left"/>
              <w:textAlignment w:val="top"/>
              <w:rPr>
                <w:rFonts w:ascii="宋体" w:hAnsi="宋体"/>
                <w:color w:val="FF0000"/>
                <w:sz w:val="24"/>
                <w:szCs w:val="24"/>
              </w:rPr>
            </w:pPr>
            <w:r>
              <w:rPr>
                <w:rFonts w:hint="eastAsia" w:ascii="宋体" w:hAnsi="宋体" w:eastAsia="宋体" w:cs="宋体"/>
                <w:sz w:val="24"/>
              </w:rPr>
              <w:t>智能康复训练系统能够实时显示患者主动做功情况</w:t>
            </w:r>
          </w:p>
        </w:tc>
        <w:tc>
          <w:tcPr>
            <w:tcW w:w="1320" w:type="dxa"/>
            <w:vAlign w:val="top"/>
          </w:tcPr>
          <w:p>
            <w:pPr>
              <w:jc w:val="lef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left"/>
              <w:textAlignment w:val="top"/>
              <w:rPr>
                <w:rFonts w:hint="eastAsia" w:ascii="宋体" w:hAnsi="宋体"/>
                <w:color w:val="FF0000"/>
                <w:sz w:val="24"/>
                <w:szCs w:val="24"/>
              </w:rPr>
            </w:pPr>
            <w:r>
              <w:rPr>
                <w:rFonts w:hint="eastAsia" w:ascii="宋体" w:hAnsi="宋体" w:eastAsia="宋体" w:cs="宋体"/>
                <w:i w:val="0"/>
                <w:iCs w:val="0"/>
                <w:color w:val="000000"/>
                <w:kern w:val="0"/>
                <w:sz w:val="24"/>
                <w:szCs w:val="24"/>
                <w:u w:val="none"/>
                <w:lang w:val="en-US" w:eastAsia="zh-CN" w:bidi="ar"/>
              </w:rPr>
              <w:t xml:space="preserve">3.12 </w:t>
            </w:r>
          </w:p>
        </w:tc>
        <w:tc>
          <w:tcPr>
            <w:tcW w:w="7666" w:type="dxa"/>
            <w:vAlign w:val="top"/>
          </w:tcPr>
          <w:p>
            <w:pPr>
              <w:keepNext w:val="0"/>
              <w:keepLines w:val="0"/>
              <w:widowControl/>
              <w:suppressLineNumbers w:val="0"/>
              <w:jc w:val="left"/>
              <w:textAlignment w:val="top"/>
              <w:rPr>
                <w:rFonts w:ascii="宋体" w:hAnsi="宋体"/>
                <w:color w:val="FF0000"/>
                <w:sz w:val="24"/>
                <w:szCs w:val="24"/>
              </w:rPr>
            </w:pPr>
            <w:r>
              <w:rPr>
                <w:rFonts w:hint="eastAsia" w:ascii="宋体" w:hAnsi="宋体" w:eastAsia="宋体" w:cs="宋体"/>
                <w:sz w:val="24"/>
                <w:szCs w:val="24"/>
              </w:rPr>
              <w:t>可以根据患者情况上肢训练单元可高低调节，显示屏幕0-90度可调，充分考虑了患者训练体位</w:t>
            </w:r>
          </w:p>
        </w:tc>
        <w:tc>
          <w:tcPr>
            <w:tcW w:w="1320" w:type="dxa"/>
            <w:vAlign w:val="top"/>
          </w:tcPr>
          <w:p>
            <w:pPr>
              <w:jc w:val="lef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left"/>
              <w:textAlignment w:val="top"/>
              <w:rPr>
                <w:rFonts w:hint="eastAsia" w:ascii="宋体" w:hAnsi="宋体"/>
                <w:color w:val="FF0000"/>
                <w:sz w:val="24"/>
                <w:szCs w:val="24"/>
              </w:rPr>
            </w:pPr>
            <w:r>
              <w:rPr>
                <w:rFonts w:hint="eastAsia" w:ascii="宋体" w:hAnsi="宋体" w:eastAsia="宋体" w:cs="宋体"/>
                <w:i w:val="0"/>
                <w:iCs w:val="0"/>
                <w:color w:val="000000"/>
                <w:kern w:val="0"/>
                <w:sz w:val="24"/>
                <w:szCs w:val="24"/>
                <w:u w:val="none"/>
                <w:lang w:val="en-US" w:eastAsia="zh-CN" w:bidi="ar"/>
              </w:rPr>
              <w:t xml:space="preserve">3.13 </w:t>
            </w:r>
          </w:p>
        </w:tc>
        <w:tc>
          <w:tcPr>
            <w:tcW w:w="7666" w:type="dxa"/>
            <w:vAlign w:val="top"/>
          </w:tcPr>
          <w:p>
            <w:pPr>
              <w:keepNext w:val="0"/>
              <w:keepLines w:val="0"/>
              <w:widowControl/>
              <w:suppressLineNumbers w:val="0"/>
              <w:jc w:val="left"/>
              <w:textAlignment w:val="top"/>
              <w:rPr>
                <w:rFonts w:ascii="宋体" w:hAnsi="宋体"/>
                <w:color w:val="FF0000"/>
                <w:sz w:val="24"/>
                <w:szCs w:val="24"/>
              </w:rPr>
            </w:pPr>
            <w:r>
              <w:rPr>
                <w:rFonts w:hint="eastAsia" w:ascii="宋体" w:hAnsi="宋体" w:eastAsia="宋体" w:cs="宋体"/>
                <w:color w:val="000000"/>
                <w:sz w:val="24"/>
                <w:szCs w:val="24"/>
                <w:lang w:eastAsia="zh-CN"/>
              </w:rPr>
              <w:t>具有中华人民共和国国家版权局出版的计算机软件著作权证书</w:t>
            </w:r>
          </w:p>
        </w:tc>
        <w:tc>
          <w:tcPr>
            <w:tcW w:w="1320" w:type="dxa"/>
            <w:vAlign w:val="top"/>
          </w:tcPr>
          <w:p>
            <w:pPr>
              <w:jc w:val="lef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left"/>
              <w:textAlignment w:val="top"/>
              <w:rPr>
                <w:rFonts w:hint="eastAsia" w:ascii="宋体" w:hAnsi="宋体"/>
                <w:color w:val="FF0000"/>
                <w:sz w:val="24"/>
                <w:szCs w:val="24"/>
              </w:rPr>
            </w:pPr>
            <w:r>
              <w:rPr>
                <w:rFonts w:hint="eastAsia" w:ascii="宋体" w:hAnsi="宋体" w:eastAsia="宋体" w:cs="宋体"/>
                <w:i w:val="0"/>
                <w:iCs w:val="0"/>
                <w:color w:val="000000"/>
                <w:kern w:val="0"/>
                <w:sz w:val="24"/>
                <w:szCs w:val="24"/>
                <w:u w:val="none"/>
                <w:lang w:val="en-US" w:eastAsia="zh-CN" w:bidi="ar"/>
              </w:rPr>
              <w:t xml:space="preserve">3.14 </w:t>
            </w:r>
          </w:p>
        </w:tc>
        <w:tc>
          <w:tcPr>
            <w:tcW w:w="7666" w:type="dxa"/>
            <w:vAlign w:val="top"/>
          </w:tcPr>
          <w:p>
            <w:pPr>
              <w:keepNext w:val="0"/>
              <w:keepLines w:val="0"/>
              <w:widowControl/>
              <w:suppressLineNumbers w:val="0"/>
              <w:jc w:val="left"/>
              <w:textAlignment w:val="top"/>
              <w:rPr>
                <w:rFonts w:ascii="宋体" w:hAnsi="宋体"/>
                <w:color w:val="FF0000"/>
                <w:sz w:val="24"/>
                <w:szCs w:val="24"/>
              </w:rPr>
            </w:pPr>
            <w:r>
              <w:rPr>
                <w:rFonts w:hint="eastAsia" w:ascii="宋体" w:hAnsi="宋体" w:eastAsia="宋体" w:cs="宋体"/>
                <w:kern w:val="4"/>
                <w:sz w:val="24"/>
              </w:rPr>
              <w:t>通过ISO9001国际质量体系认证</w:t>
            </w:r>
          </w:p>
        </w:tc>
        <w:tc>
          <w:tcPr>
            <w:tcW w:w="1320" w:type="dxa"/>
            <w:vAlign w:val="top"/>
          </w:tcPr>
          <w:p>
            <w:pPr>
              <w:jc w:val="lef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三</w:t>
            </w:r>
          </w:p>
        </w:tc>
        <w:tc>
          <w:tcPr>
            <w:tcW w:w="7666" w:type="dxa"/>
            <w:vAlign w:val="top"/>
          </w:tcPr>
          <w:p>
            <w:pPr>
              <w:rPr>
                <w:rFonts w:hint="eastAsia" w:asciiTheme="minorEastAsia" w:hAnsiTheme="minorEastAsia" w:eastAsiaTheme="minorEastAsia" w:cstheme="minorEastAsia"/>
                <w:sz w:val="24"/>
                <w:szCs w:val="24"/>
              </w:rPr>
            </w:pPr>
            <w:r>
              <w:rPr>
                <w:rFonts w:hint="eastAsia" w:ascii="宋体" w:hAnsi="宋体"/>
                <w:b/>
                <w:sz w:val="24"/>
                <w:szCs w:val="24"/>
              </w:rPr>
              <w:t>安装验收</w:t>
            </w:r>
          </w:p>
        </w:tc>
        <w:tc>
          <w:tcPr>
            <w:tcW w:w="1320" w:type="dxa"/>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6" w:type="dxa"/>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3.1</w:t>
            </w:r>
          </w:p>
        </w:tc>
        <w:tc>
          <w:tcPr>
            <w:tcW w:w="7666"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安装地点：医院指定科室；</w:t>
            </w:r>
          </w:p>
        </w:tc>
        <w:tc>
          <w:tcPr>
            <w:tcW w:w="1320" w:type="dxa"/>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3.2</w:t>
            </w:r>
          </w:p>
        </w:tc>
        <w:tc>
          <w:tcPr>
            <w:tcW w:w="7666"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安装完成时间：合同签订后1个月内交货，接买方通知后3天内完成安装；</w:t>
            </w:r>
          </w:p>
        </w:tc>
        <w:tc>
          <w:tcPr>
            <w:tcW w:w="1320" w:type="dxa"/>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3.3</w:t>
            </w:r>
          </w:p>
        </w:tc>
        <w:tc>
          <w:tcPr>
            <w:tcW w:w="7666"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安装标准：符合我国国家有关技术规范和技术标准；</w:t>
            </w:r>
          </w:p>
        </w:tc>
        <w:tc>
          <w:tcPr>
            <w:tcW w:w="132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3.4</w:t>
            </w:r>
          </w:p>
        </w:tc>
        <w:tc>
          <w:tcPr>
            <w:tcW w:w="7666"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验收标准：符合我国国家有关技术规范和技术标准。</w:t>
            </w:r>
          </w:p>
        </w:tc>
        <w:tc>
          <w:tcPr>
            <w:tcW w:w="132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3.5</w:t>
            </w:r>
          </w:p>
        </w:tc>
        <w:tc>
          <w:tcPr>
            <w:tcW w:w="7666"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安装、验收合格前所产生的一切费用（包括卸货、搬运、必要时的安全性能检测费等）由供方负责提供。</w:t>
            </w:r>
          </w:p>
        </w:tc>
        <w:tc>
          <w:tcPr>
            <w:tcW w:w="132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四</w:t>
            </w:r>
          </w:p>
        </w:tc>
        <w:tc>
          <w:tcPr>
            <w:tcW w:w="7666" w:type="dxa"/>
            <w:vAlign w:val="top"/>
          </w:tcPr>
          <w:p>
            <w:pPr>
              <w:rPr>
                <w:rFonts w:hint="eastAsia" w:asciiTheme="minorEastAsia" w:hAnsiTheme="minorEastAsia" w:eastAsiaTheme="minorEastAsia" w:cstheme="minorEastAsia"/>
                <w:sz w:val="24"/>
                <w:szCs w:val="24"/>
              </w:rPr>
            </w:pPr>
            <w:r>
              <w:rPr>
                <w:rFonts w:hint="eastAsia" w:ascii="宋体" w:hAnsi="宋体"/>
                <w:b/>
                <w:sz w:val="24"/>
                <w:szCs w:val="24"/>
              </w:rPr>
              <w:t>售后服务</w:t>
            </w:r>
          </w:p>
        </w:tc>
        <w:tc>
          <w:tcPr>
            <w:tcW w:w="132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4.1</w:t>
            </w:r>
          </w:p>
        </w:tc>
        <w:tc>
          <w:tcPr>
            <w:tcW w:w="7666"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免费保修：设备验收合格后保修≥1年，期间免一切维修费用；</w:t>
            </w:r>
          </w:p>
        </w:tc>
        <w:tc>
          <w:tcPr>
            <w:tcW w:w="132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五</w:t>
            </w:r>
          </w:p>
        </w:tc>
        <w:tc>
          <w:tcPr>
            <w:tcW w:w="7666" w:type="dxa"/>
            <w:vAlign w:val="top"/>
          </w:tcPr>
          <w:p>
            <w:pPr>
              <w:rPr>
                <w:rFonts w:hint="eastAsia" w:asciiTheme="minorEastAsia" w:hAnsiTheme="minorEastAsia" w:eastAsiaTheme="minorEastAsia" w:cstheme="minorEastAsia"/>
                <w:sz w:val="24"/>
                <w:szCs w:val="24"/>
              </w:rPr>
            </w:pPr>
            <w:r>
              <w:rPr>
                <w:rFonts w:hint="eastAsia" w:ascii="宋体" w:hAnsi="宋体"/>
                <w:b/>
                <w:sz w:val="24"/>
                <w:szCs w:val="24"/>
              </w:rPr>
              <w:t>其他要求</w:t>
            </w:r>
          </w:p>
        </w:tc>
        <w:tc>
          <w:tcPr>
            <w:tcW w:w="132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5.1</w:t>
            </w:r>
          </w:p>
        </w:tc>
        <w:tc>
          <w:tcPr>
            <w:tcW w:w="7666"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属于医疗器械管理范围的产品必须提供医疗器械注册证及注册登记表</w:t>
            </w:r>
          </w:p>
        </w:tc>
        <w:tc>
          <w:tcPr>
            <w:tcW w:w="132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5.2</w:t>
            </w:r>
          </w:p>
        </w:tc>
        <w:tc>
          <w:tcPr>
            <w:tcW w:w="7666"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厂家承诺提供设备免费保修期（含消耗品、易损品、维修配件、人工服务等）≥ 1年。提供过保后年保价格</w:t>
            </w:r>
          </w:p>
        </w:tc>
        <w:tc>
          <w:tcPr>
            <w:tcW w:w="132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5.3</w:t>
            </w:r>
          </w:p>
        </w:tc>
        <w:tc>
          <w:tcPr>
            <w:tcW w:w="7666"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操作手册、维修手册：提供操作手册、维修手册各一套</w:t>
            </w:r>
          </w:p>
        </w:tc>
        <w:tc>
          <w:tcPr>
            <w:tcW w:w="132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5.4</w:t>
            </w:r>
          </w:p>
        </w:tc>
        <w:tc>
          <w:tcPr>
            <w:tcW w:w="7666"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培训：提供临床应用操作培训,并提供临床资料(培训ppt、考核试题)</w:t>
            </w:r>
          </w:p>
        </w:tc>
        <w:tc>
          <w:tcPr>
            <w:tcW w:w="132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5.5</w:t>
            </w:r>
          </w:p>
        </w:tc>
        <w:tc>
          <w:tcPr>
            <w:tcW w:w="7666"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软件终身免费升级</w:t>
            </w:r>
          </w:p>
        </w:tc>
        <w:tc>
          <w:tcPr>
            <w:tcW w:w="132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5.6</w:t>
            </w:r>
          </w:p>
        </w:tc>
        <w:tc>
          <w:tcPr>
            <w:tcW w:w="7666"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付款方式:验收合格后90工作日内付款，投标商开具单张发票限额必须大于投标单台设备价格</w:t>
            </w:r>
          </w:p>
        </w:tc>
        <w:tc>
          <w:tcPr>
            <w:tcW w:w="132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5.7</w:t>
            </w:r>
          </w:p>
        </w:tc>
        <w:tc>
          <w:tcPr>
            <w:tcW w:w="7666"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投标商提供的设备必须在距投标当日10个月内生产</w:t>
            </w:r>
          </w:p>
        </w:tc>
        <w:tc>
          <w:tcPr>
            <w:tcW w:w="132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936"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5.8</w:t>
            </w:r>
          </w:p>
        </w:tc>
        <w:tc>
          <w:tcPr>
            <w:tcW w:w="7666"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其它优惠条款</w:t>
            </w:r>
          </w:p>
        </w:tc>
        <w:tc>
          <w:tcPr>
            <w:tcW w:w="1320" w:type="dxa"/>
            <w:vAlign w:val="top"/>
          </w:tcPr>
          <w:p>
            <w:pPr>
              <w:rPr>
                <w:rFonts w:hint="eastAsia" w:asciiTheme="minorEastAsia" w:hAnsiTheme="minorEastAsia" w:eastAsiaTheme="minorEastAsia" w:cstheme="minorEastAsia"/>
                <w:kern w:val="0"/>
                <w:sz w:val="24"/>
                <w:szCs w:val="24"/>
              </w:rPr>
            </w:pPr>
          </w:p>
        </w:tc>
      </w:tr>
    </w:tbl>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2"/>
          <w:rFonts w:hint="eastAsia" w:asciiTheme="minorEastAsia" w:hAnsiTheme="minorEastAsia" w:cstheme="minorEastAsia"/>
          <w:b/>
          <w:bCs/>
          <w:kern w:val="2"/>
          <w:sz w:val="28"/>
          <w:szCs w:val="28"/>
          <w:lang w:val="en-US" w:eastAsia="zh-CN" w:bidi="ar-SA"/>
        </w:rPr>
      </w:pPr>
    </w:p>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2"/>
          <w:rFonts w:hint="eastAsia" w:asciiTheme="minorEastAsia" w:hAnsiTheme="minorEastAsia" w:cstheme="minorEastAsia"/>
          <w:b/>
          <w:bCs/>
          <w:kern w:val="2"/>
          <w:sz w:val="28"/>
          <w:szCs w:val="28"/>
          <w:lang w:val="en-US" w:eastAsia="zh-CN" w:bidi="ar-SA"/>
        </w:rPr>
      </w:pPr>
    </w:p>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2"/>
          <w:rFonts w:hint="eastAsia" w:asciiTheme="minorEastAsia" w:hAnsiTheme="minorEastAsia" w:cstheme="minorEastAsia"/>
          <w:b/>
          <w:bCs/>
          <w:kern w:val="2"/>
          <w:sz w:val="28"/>
          <w:szCs w:val="28"/>
          <w:lang w:val="en-US" w:eastAsia="zh-CN" w:bidi="ar-SA"/>
        </w:rPr>
      </w:pPr>
    </w:p>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2"/>
          <w:rFonts w:hint="eastAsia" w:asciiTheme="minorEastAsia" w:hAnsiTheme="minorEastAsia" w:cstheme="minorEastAsia"/>
          <w:b/>
          <w:bCs/>
          <w:kern w:val="2"/>
          <w:sz w:val="28"/>
          <w:szCs w:val="28"/>
          <w:lang w:val="en-US" w:eastAsia="zh-CN" w:bidi="ar-SA"/>
        </w:rPr>
      </w:pPr>
    </w:p>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2"/>
          <w:rFonts w:hint="eastAsia" w:asciiTheme="minorEastAsia" w:hAnsiTheme="minorEastAsia" w:cstheme="minorEastAsia"/>
          <w:b/>
          <w:bCs/>
          <w:kern w:val="2"/>
          <w:sz w:val="28"/>
          <w:szCs w:val="28"/>
          <w:lang w:val="en-US" w:eastAsia="zh-CN" w:bidi="ar-SA"/>
        </w:rPr>
      </w:pPr>
    </w:p>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2"/>
          <w:rFonts w:hint="eastAsia" w:asciiTheme="minorEastAsia" w:hAnsiTheme="minorEastAsia" w:cstheme="minorEastAsia"/>
          <w:b/>
          <w:bCs/>
          <w:kern w:val="2"/>
          <w:sz w:val="28"/>
          <w:szCs w:val="28"/>
          <w:lang w:val="en-US" w:eastAsia="zh-CN" w:bidi="ar-SA"/>
        </w:rPr>
      </w:pPr>
    </w:p>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2"/>
          <w:rFonts w:hint="eastAsia" w:asciiTheme="minorEastAsia" w:hAnsiTheme="minorEastAsia" w:cstheme="minorEastAsia"/>
          <w:b/>
          <w:bCs/>
          <w:kern w:val="2"/>
          <w:sz w:val="28"/>
          <w:szCs w:val="28"/>
          <w:lang w:val="en-US" w:eastAsia="zh-CN" w:bidi="ar-SA"/>
        </w:rPr>
      </w:pPr>
      <w:r>
        <w:rPr>
          <w:rStyle w:val="12"/>
          <w:rFonts w:hint="eastAsia" w:asciiTheme="minorEastAsia" w:hAnsiTheme="minorEastAsia" w:cstheme="minorEastAsia"/>
          <w:b/>
          <w:bCs/>
          <w:kern w:val="2"/>
          <w:sz w:val="28"/>
          <w:szCs w:val="28"/>
          <w:lang w:val="en-US" w:eastAsia="zh-CN" w:bidi="ar-SA"/>
        </w:rPr>
        <w:t>标项二：</w:t>
      </w:r>
    </w:p>
    <w:tbl>
      <w:tblPr>
        <w:tblStyle w:val="10"/>
        <w:tblpPr w:leftFromText="180" w:rightFromText="180" w:vertAnchor="page" w:horzAnchor="page" w:tblpX="1576" w:tblpY="7248"/>
        <w:tblOverlap w:val="never"/>
        <w:tblW w:w="99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7666"/>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36"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7666" w:type="dxa"/>
          </w:tcPr>
          <w:p>
            <w:pPr>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 xml:space="preserve">                 商务、技术参数要求</w:t>
            </w:r>
          </w:p>
        </w:tc>
        <w:tc>
          <w:tcPr>
            <w:tcW w:w="1320" w:type="dxa"/>
          </w:tcPr>
          <w:p>
            <w:pPr>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kern w:val="0"/>
                <w:sz w:val="24"/>
                <w:szCs w:val="24"/>
                <w:lang w:val="en-US" w:eastAsia="zh-CN"/>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6" w:type="dxa"/>
            <w:vAlign w:val="center"/>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一</w:t>
            </w:r>
          </w:p>
        </w:tc>
        <w:tc>
          <w:tcPr>
            <w:tcW w:w="7666" w:type="dxa"/>
            <w:vAlign w:val="top"/>
          </w:tcPr>
          <w:p>
            <w:pPr>
              <w:rPr>
                <w:rFonts w:hint="eastAsia" w:asciiTheme="minorEastAsia" w:hAnsiTheme="minorEastAsia" w:eastAsiaTheme="minorEastAsia" w:cstheme="minorEastAsia"/>
                <w:b/>
                <w:kern w:val="2"/>
                <w:sz w:val="24"/>
                <w:szCs w:val="24"/>
                <w:lang w:val="en-US" w:eastAsia="zh-CN" w:bidi="ar-SA"/>
              </w:rPr>
            </w:pPr>
            <w:r>
              <w:rPr>
                <w:rFonts w:hint="eastAsia" w:ascii="宋体" w:hAnsi="宋体"/>
                <w:b/>
                <w:sz w:val="24"/>
                <w:szCs w:val="24"/>
              </w:rPr>
              <w:t>总体要求</w:t>
            </w:r>
          </w:p>
        </w:tc>
        <w:tc>
          <w:tcPr>
            <w:tcW w:w="1320" w:type="dxa"/>
            <w:vAlign w:val="top"/>
          </w:tcPr>
          <w:p>
            <w:pPr>
              <w:rPr>
                <w:rFonts w:hint="eastAsia" w:asciiTheme="minorEastAsia" w:hAnsiTheme="minorEastAsia" w:eastAsiaTheme="minorEastAsia" w:cstheme="minorEastAsia"/>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36"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auto"/>
                <w:kern w:val="0"/>
                <w:sz w:val="24"/>
                <w:szCs w:val="24"/>
                <w:u w:val="none"/>
                <w:lang w:val="en-US" w:eastAsia="zh-CN" w:bidi="ar"/>
              </w:rPr>
              <w:t>1.1</w:t>
            </w:r>
          </w:p>
        </w:tc>
        <w:tc>
          <w:tcPr>
            <w:tcW w:w="7666" w:type="dxa"/>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FF0000"/>
                <w:kern w:val="0"/>
                <w:sz w:val="24"/>
                <w:szCs w:val="24"/>
                <w:u w:val="none"/>
                <w:lang w:val="en-US" w:eastAsia="zh-CN" w:bidi="ar"/>
              </w:rPr>
            </w:pPr>
            <w:r>
              <w:rPr>
                <w:rFonts w:hint="eastAsia" w:ascii="宋体" w:hAnsi="宋体"/>
                <w:b/>
                <w:sz w:val="24"/>
                <w:szCs w:val="24"/>
                <w:lang w:eastAsia="zh-CN"/>
              </w:rPr>
              <w:t>下肢</w:t>
            </w:r>
            <w:r>
              <w:rPr>
                <w:rFonts w:hint="eastAsia" w:ascii="宋体" w:hAnsi="宋体"/>
                <w:b/>
                <w:sz w:val="24"/>
                <w:szCs w:val="24"/>
              </w:rPr>
              <w:t>智能康复训练系统</w:t>
            </w:r>
          </w:p>
        </w:tc>
        <w:tc>
          <w:tcPr>
            <w:tcW w:w="1320" w:type="dxa"/>
            <w:vAlign w:val="top"/>
          </w:tcPr>
          <w:p>
            <w:pPr>
              <w:jc w:val="both"/>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766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i w:val="0"/>
                <w:iCs w:val="0"/>
                <w:color w:val="000000"/>
                <w:kern w:val="0"/>
                <w:sz w:val="24"/>
                <w:szCs w:val="24"/>
                <w:highlight w:val="none"/>
                <w:u w:val="none"/>
                <w:lang w:val="en-US" w:eastAsia="zh-CN" w:bidi="ar"/>
              </w:rPr>
              <w:t>设备用途：</w:t>
            </w:r>
            <w:r>
              <w:rPr>
                <w:rFonts w:ascii="Segoe UI" w:hAnsi="Segoe UI" w:eastAsia="Segoe UI" w:cs="Segoe UI"/>
                <w:i w:val="0"/>
                <w:iCs w:val="0"/>
                <w:caps w:val="0"/>
                <w:color w:val="333333"/>
                <w:spacing w:val="0"/>
                <w:sz w:val="24"/>
                <w:szCs w:val="24"/>
                <w:shd w:val="clear" w:color="auto" w:fill="FFFFFF"/>
              </w:rPr>
              <w:t>适用于肢体障碍患者恢复期和后遗症期上下肢肌力、肌耐力、关节活动度等功能训练</w:t>
            </w:r>
          </w:p>
        </w:tc>
        <w:tc>
          <w:tcPr>
            <w:tcW w:w="1320" w:type="dxa"/>
            <w:vAlign w:val="top"/>
          </w:tcPr>
          <w:p>
            <w:pPr>
              <w:jc w:val="center"/>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36"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FF0000"/>
                <w:sz w:val="24"/>
                <w:szCs w:val="24"/>
              </w:rPr>
            </w:pPr>
            <w:r>
              <w:rPr>
                <w:rFonts w:hint="eastAsia" w:ascii="宋体" w:hAnsi="宋体" w:eastAsia="宋体" w:cs="宋体"/>
                <w:i w:val="0"/>
                <w:iCs w:val="0"/>
                <w:color w:val="000000"/>
                <w:kern w:val="0"/>
                <w:sz w:val="24"/>
                <w:szCs w:val="24"/>
                <w:u w:val="none"/>
                <w:lang w:val="en-US" w:eastAsia="zh-CN" w:bidi="ar"/>
              </w:rPr>
              <w:t>二</w:t>
            </w:r>
          </w:p>
        </w:tc>
        <w:tc>
          <w:tcPr>
            <w:tcW w:w="766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b/>
                <w:bCs/>
                <w:i w:val="0"/>
                <w:iCs w:val="0"/>
                <w:color w:val="000000"/>
                <w:kern w:val="0"/>
                <w:sz w:val="24"/>
                <w:szCs w:val="24"/>
                <w:u w:val="none"/>
                <w:lang w:val="en-US" w:eastAsia="zh-CN" w:bidi="ar"/>
              </w:rPr>
              <w:t>主要功能要求与技术参数</w:t>
            </w:r>
          </w:p>
        </w:tc>
        <w:tc>
          <w:tcPr>
            <w:tcW w:w="1320" w:type="dxa"/>
            <w:vAlign w:val="center"/>
          </w:tcPr>
          <w:p>
            <w:pPr>
              <w:jc w:val="center"/>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2.1</w:t>
            </w:r>
          </w:p>
        </w:tc>
        <w:tc>
          <w:tcPr>
            <w:tcW w:w="7666"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sz w:val="24"/>
              </w:rPr>
              <w:t>智能康复训练系统造型美观、稳固、大方、实用。针对患者训练的安全性和稳定性设备做了配重设计和防滑设计</w:t>
            </w:r>
          </w:p>
        </w:tc>
        <w:tc>
          <w:tcPr>
            <w:tcW w:w="1320"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2.2</w:t>
            </w:r>
          </w:p>
        </w:tc>
        <w:tc>
          <w:tcPr>
            <w:tcW w:w="7666"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sz w:val="24"/>
              </w:rPr>
              <w:t>智能康复训练系统电机动力系统运动时有力且平稳，使智能康复训练系统在患者训练时安全有保证，使设备的各项功能指标都能正确运行</w:t>
            </w:r>
          </w:p>
        </w:tc>
        <w:tc>
          <w:tcPr>
            <w:tcW w:w="1320"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color w:val="FF0000"/>
                <w:sz w:val="24"/>
                <w:szCs w:val="24"/>
              </w:rPr>
            </w:pPr>
            <w:r>
              <w:rPr>
                <w:rFonts w:hint="eastAsia" w:ascii="宋体" w:hAnsi="宋体" w:eastAsia="宋体" w:cs="宋体"/>
                <w:i w:val="0"/>
                <w:iCs w:val="0"/>
                <w:color w:val="000000"/>
                <w:kern w:val="0"/>
                <w:sz w:val="24"/>
                <w:szCs w:val="24"/>
                <w:u w:val="none"/>
                <w:lang w:val="en-US" w:eastAsia="zh-CN" w:bidi="ar"/>
              </w:rPr>
              <w:t>2.3</w:t>
            </w:r>
          </w:p>
        </w:tc>
        <w:tc>
          <w:tcPr>
            <w:tcW w:w="7666" w:type="dxa"/>
            <w:vAlign w:val="top"/>
          </w:tcPr>
          <w:p>
            <w:pPr>
              <w:keepNext w:val="0"/>
              <w:keepLines w:val="0"/>
              <w:widowControl/>
              <w:suppressLineNumbers w:val="0"/>
              <w:jc w:val="left"/>
              <w:textAlignment w:val="top"/>
              <w:rPr>
                <w:rFonts w:hint="eastAsia" w:ascii="宋体" w:hAnsi="宋体"/>
                <w:color w:val="FF0000"/>
                <w:sz w:val="24"/>
                <w:szCs w:val="24"/>
              </w:rPr>
            </w:pPr>
            <w:r>
              <w:rPr>
                <w:rFonts w:hint="eastAsia" w:ascii="宋体" w:hAnsi="宋体"/>
                <w:sz w:val="24"/>
              </w:rPr>
              <w:t>智能康复训练系统动力系统采用特殊的结构设计，使智能康复训练系统的动力系统使用寿命</w:t>
            </w:r>
            <w:r>
              <w:rPr>
                <w:rFonts w:hint="eastAsia" w:ascii="宋体" w:hAnsi="宋体"/>
                <w:sz w:val="24"/>
                <w:szCs w:val="24"/>
              </w:rPr>
              <w:t>长</w:t>
            </w:r>
          </w:p>
        </w:tc>
        <w:tc>
          <w:tcPr>
            <w:tcW w:w="1320"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2.4</w:t>
            </w:r>
          </w:p>
        </w:tc>
        <w:tc>
          <w:tcPr>
            <w:tcW w:w="7666"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highlight w:val="none"/>
              </w:rPr>
            </w:pPr>
            <w:r>
              <w:rPr>
                <w:rFonts w:hint="eastAsia" w:ascii="宋体" w:hAnsi="宋体"/>
                <w:sz w:val="24"/>
                <w:szCs w:val="24"/>
              </w:rPr>
              <w:t>智能康复训练系统具有患者从完全被动训练阶段到主动和被动训练相交叉的助力训练阶段到完全的主动训练阶段到初期主动力量训练阶段的患者康复过程</w:t>
            </w:r>
          </w:p>
        </w:tc>
        <w:tc>
          <w:tcPr>
            <w:tcW w:w="1320"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2.5</w:t>
            </w:r>
          </w:p>
        </w:tc>
        <w:tc>
          <w:tcPr>
            <w:tcW w:w="7666"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sz w:val="24"/>
                <w:szCs w:val="24"/>
              </w:rPr>
              <w:t>采用</w:t>
            </w:r>
            <w:r>
              <w:rPr>
                <w:rFonts w:hint="eastAsia" w:ascii="宋体" w:hAnsi="宋体"/>
                <w:sz w:val="24"/>
                <w:szCs w:val="24"/>
                <w:lang w:val="en-US" w:eastAsia="zh-CN"/>
              </w:rPr>
              <w:t>10.4寸</w:t>
            </w:r>
            <w:r>
              <w:rPr>
                <w:rFonts w:hint="eastAsia" w:ascii="宋体" w:hAnsi="宋体"/>
                <w:sz w:val="24"/>
                <w:szCs w:val="24"/>
              </w:rPr>
              <w:t>彩色</w:t>
            </w:r>
            <w:r>
              <w:rPr>
                <w:rFonts w:hint="eastAsia" w:ascii="宋体" w:hAnsi="宋体"/>
                <w:sz w:val="24"/>
                <w:szCs w:val="24"/>
                <w:lang w:eastAsia="zh-CN"/>
              </w:rPr>
              <w:t>液晶触摸屏，</w:t>
            </w:r>
            <w:r>
              <w:rPr>
                <w:rFonts w:hint="eastAsia" w:ascii="宋体" w:hAnsi="宋体"/>
                <w:sz w:val="24"/>
                <w:szCs w:val="24"/>
              </w:rPr>
              <w:t>一目了然的控制面板的设计，使医务工作者能轻松容易的掌握</w:t>
            </w:r>
          </w:p>
        </w:tc>
        <w:tc>
          <w:tcPr>
            <w:tcW w:w="1320"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auto"/>
                <w:sz w:val="24"/>
                <w:szCs w:val="24"/>
                <w:lang w:val="en-US" w:eastAsia="zh-CN"/>
              </w:rPr>
            </w:pPr>
            <w:r>
              <w:rPr>
                <w:rFonts w:hint="eastAsia" w:ascii="宋体" w:hAnsi="宋体"/>
                <w:sz w:val="24"/>
                <w:szCs w:val="24"/>
              </w:rPr>
              <w:t>▲</w:t>
            </w:r>
            <w:r>
              <w:rPr>
                <w:rFonts w:hint="eastAsia" w:ascii="宋体" w:hAnsi="宋体" w:eastAsia="宋体" w:cs="宋体"/>
                <w:i w:val="0"/>
                <w:iCs w:val="0"/>
                <w:color w:val="000000"/>
                <w:kern w:val="0"/>
                <w:sz w:val="24"/>
                <w:szCs w:val="24"/>
                <w:u w:val="none"/>
                <w:lang w:val="en-US" w:eastAsia="zh-CN" w:bidi="ar"/>
              </w:rPr>
              <w:t>2.6</w:t>
            </w:r>
          </w:p>
        </w:tc>
        <w:tc>
          <w:tcPr>
            <w:tcW w:w="7666"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sz w:val="24"/>
                <w:szCs w:val="24"/>
              </w:rPr>
              <w:t>具有六种针对性的训练模式：神经模式、骨科模式、心肺模式、反馈模式、被动模式、游戏模式</w:t>
            </w:r>
          </w:p>
        </w:tc>
        <w:tc>
          <w:tcPr>
            <w:tcW w:w="1320"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auto"/>
                <w:sz w:val="24"/>
                <w:szCs w:val="24"/>
                <w:lang w:val="en-US" w:eastAsia="zh-CN"/>
              </w:rPr>
            </w:pPr>
            <w:r>
              <w:rPr>
                <w:rFonts w:hint="eastAsia" w:ascii="宋体" w:hAnsi="宋体"/>
                <w:sz w:val="24"/>
                <w:szCs w:val="24"/>
              </w:rPr>
              <w:t>▲</w:t>
            </w:r>
            <w:r>
              <w:rPr>
                <w:rFonts w:hint="eastAsia" w:ascii="宋体" w:hAnsi="宋体" w:eastAsia="宋体" w:cs="宋体"/>
                <w:i w:val="0"/>
                <w:iCs w:val="0"/>
                <w:color w:val="000000"/>
                <w:kern w:val="0"/>
                <w:sz w:val="24"/>
                <w:szCs w:val="24"/>
                <w:u w:val="none"/>
                <w:lang w:val="en-US" w:eastAsia="zh-CN" w:bidi="ar"/>
              </w:rPr>
              <w:t>2.7</w:t>
            </w:r>
          </w:p>
        </w:tc>
        <w:tc>
          <w:tcPr>
            <w:tcW w:w="766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rPr>
            </w:pPr>
            <w:r>
              <w:rPr>
                <w:rFonts w:hint="eastAsia" w:ascii="宋体" w:hAnsi="宋体"/>
                <w:sz w:val="24"/>
                <w:szCs w:val="24"/>
              </w:rPr>
              <w:t>具有四种患者训练安全保护功能：痉挛保护、声控保护、靶心率保护、磁控保护。且痉挛敏感等级、声控敏感等级和靶心率目标数值均可调</w:t>
            </w:r>
          </w:p>
        </w:tc>
        <w:tc>
          <w:tcPr>
            <w:tcW w:w="1320" w:type="dxa"/>
            <w:vAlign w:val="top"/>
          </w:tcPr>
          <w:p>
            <w:pPr>
              <w:jc w:val="both"/>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cs="宋体"/>
                <w:i w:val="0"/>
                <w:iCs w:val="0"/>
                <w:color w:val="000000"/>
                <w:kern w:val="0"/>
                <w:sz w:val="24"/>
                <w:szCs w:val="24"/>
                <w:u w:val="none"/>
                <w:lang w:val="en-US" w:eastAsia="zh-CN" w:bidi="ar"/>
              </w:rPr>
              <w:t>3.</w:t>
            </w:r>
          </w:p>
        </w:tc>
        <w:tc>
          <w:tcPr>
            <w:tcW w:w="7666"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sz w:val="24"/>
              </w:rPr>
              <w:t>智能康复训练系统</w:t>
            </w:r>
            <w:r>
              <w:rPr>
                <w:rFonts w:hint="eastAsia" w:ascii="宋体" w:hAnsi="宋体"/>
                <w:sz w:val="24"/>
                <w:szCs w:val="24"/>
              </w:rPr>
              <w:t>参</w:t>
            </w:r>
            <w:r>
              <w:rPr>
                <w:rFonts w:hint="eastAsia" w:ascii="宋体" w:hAnsi="宋体"/>
                <w:sz w:val="24"/>
              </w:rPr>
              <w:t>数可调：</w:t>
            </w:r>
          </w:p>
        </w:tc>
        <w:tc>
          <w:tcPr>
            <w:tcW w:w="1320"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cs="宋体"/>
                <w:i w:val="0"/>
                <w:iCs w:val="0"/>
                <w:color w:val="000000"/>
                <w:kern w:val="0"/>
                <w:sz w:val="24"/>
                <w:szCs w:val="24"/>
                <w:u w:val="none"/>
                <w:lang w:val="en-US" w:eastAsia="zh-CN" w:bidi="ar"/>
              </w:rPr>
              <w:t>3.1</w:t>
            </w:r>
          </w:p>
        </w:tc>
        <w:tc>
          <w:tcPr>
            <w:tcW w:w="7666" w:type="dxa"/>
            <w:vAlign w:val="top"/>
          </w:tcPr>
          <w:p>
            <w:pPr>
              <w:numPr>
                <w:ilvl w:val="0"/>
                <w:numId w:val="0"/>
              </w:numPr>
              <w:spacing w:line="360" w:lineRule="exact"/>
              <w:ind w:left="0" w:leftChars="0" w:firstLine="0" w:firstLineChars="0"/>
              <w:rPr>
                <w:rFonts w:hint="eastAsia" w:asciiTheme="minorEastAsia" w:hAnsiTheme="minorEastAsia" w:eastAsiaTheme="minorEastAsia" w:cstheme="minorEastAsia"/>
                <w:color w:val="FF0000"/>
                <w:sz w:val="24"/>
                <w:szCs w:val="24"/>
              </w:rPr>
            </w:pPr>
            <w:r>
              <w:rPr>
                <w:rFonts w:hint="eastAsia" w:ascii="宋体" w:hAnsi="宋体"/>
                <w:sz w:val="24"/>
              </w:rPr>
              <w:t>AC220V±10%   50Hz；</w:t>
            </w:r>
          </w:p>
        </w:tc>
        <w:tc>
          <w:tcPr>
            <w:tcW w:w="1320"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cs="宋体"/>
                <w:i w:val="0"/>
                <w:iCs w:val="0"/>
                <w:color w:val="000000"/>
                <w:kern w:val="0"/>
                <w:sz w:val="24"/>
                <w:szCs w:val="24"/>
                <w:u w:val="none"/>
                <w:lang w:val="en-US" w:eastAsia="zh-CN" w:bidi="ar"/>
              </w:rPr>
              <w:t>3.2</w:t>
            </w:r>
            <w:r>
              <w:rPr>
                <w:rFonts w:hint="eastAsia" w:ascii="宋体" w:hAnsi="宋体" w:eastAsia="宋体" w:cs="宋体"/>
                <w:i w:val="0"/>
                <w:iCs w:val="0"/>
                <w:color w:val="000000"/>
                <w:kern w:val="0"/>
                <w:sz w:val="24"/>
                <w:szCs w:val="24"/>
                <w:u w:val="none"/>
                <w:lang w:val="en-US" w:eastAsia="zh-CN" w:bidi="ar"/>
              </w:rPr>
              <w:t xml:space="preserve"> </w:t>
            </w:r>
          </w:p>
        </w:tc>
        <w:tc>
          <w:tcPr>
            <w:tcW w:w="7666" w:type="dxa"/>
            <w:vAlign w:val="top"/>
          </w:tcPr>
          <w:p>
            <w:pPr>
              <w:numPr>
                <w:ilvl w:val="0"/>
                <w:numId w:val="0"/>
              </w:numPr>
              <w:spacing w:line="360" w:lineRule="exact"/>
              <w:ind w:left="0" w:leftChars="0" w:firstLine="0" w:firstLineChars="0"/>
              <w:rPr>
                <w:rFonts w:hint="eastAsia" w:asciiTheme="minorEastAsia" w:hAnsiTheme="minorEastAsia" w:eastAsiaTheme="minorEastAsia" w:cstheme="minorEastAsia"/>
                <w:color w:val="FF0000"/>
                <w:sz w:val="24"/>
                <w:szCs w:val="24"/>
              </w:rPr>
            </w:pPr>
            <w:r>
              <w:rPr>
                <w:rFonts w:hint="eastAsia" w:ascii="宋体" w:hAnsi="宋体"/>
                <w:sz w:val="24"/>
              </w:rPr>
              <w:t>输入功率：下肢&lt;</w:t>
            </w:r>
            <w:r>
              <w:rPr>
                <w:rFonts w:hint="eastAsia" w:ascii="宋体" w:hAnsi="宋体"/>
                <w:sz w:val="24"/>
                <w:lang w:val="en-US" w:eastAsia="zh-CN"/>
              </w:rPr>
              <w:t>5</w:t>
            </w:r>
            <w:r>
              <w:rPr>
                <w:rFonts w:hint="eastAsia" w:ascii="宋体" w:hAnsi="宋体"/>
                <w:sz w:val="24"/>
              </w:rPr>
              <w:t>00VA；</w:t>
            </w:r>
          </w:p>
        </w:tc>
        <w:tc>
          <w:tcPr>
            <w:tcW w:w="1320"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cs="宋体"/>
                <w:i w:val="0"/>
                <w:iCs w:val="0"/>
                <w:color w:val="000000"/>
                <w:kern w:val="0"/>
                <w:sz w:val="24"/>
                <w:szCs w:val="24"/>
                <w:u w:val="none"/>
                <w:lang w:val="en-US" w:eastAsia="zh-CN" w:bidi="ar"/>
              </w:rPr>
              <w:t>3.3</w:t>
            </w:r>
          </w:p>
        </w:tc>
        <w:tc>
          <w:tcPr>
            <w:tcW w:w="7666" w:type="dxa"/>
            <w:vAlign w:val="top"/>
          </w:tcPr>
          <w:p>
            <w:pPr>
              <w:numPr>
                <w:ilvl w:val="0"/>
                <w:numId w:val="0"/>
              </w:numPr>
              <w:spacing w:line="360" w:lineRule="exact"/>
              <w:ind w:left="0" w:leftChars="0" w:firstLine="0" w:firstLineChars="0"/>
              <w:rPr>
                <w:rFonts w:hint="eastAsia" w:asciiTheme="minorEastAsia" w:hAnsiTheme="minorEastAsia" w:eastAsiaTheme="minorEastAsia" w:cstheme="minorEastAsia"/>
                <w:color w:val="FF0000"/>
                <w:sz w:val="24"/>
                <w:szCs w:val="24"/>
              </w:rPr>
            </w:pPr>
            <w:r>
              <w:rPr>
                <w:rFonts w:hint="eastAsia" w:ascii="宋体" w:hAnsi="宋体"/>
                <w:sz w:val="24"/>
              </w:rPr>
              <w:t>熔断器：F1AL250V,F3AL250V；</w:t>
            </w:r>
          </w:p>
        </w:tc>
        <w:tc>
          <w:tcPr>
            <w:tcW w:w="1320"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color w:val="FF0000"/>
                <w:sz w:val="24"/>
                <w:szCs w:val="24"/>
              </w:rPr>
            </w:pPr>
            <w:r>
              <w:rPr>
                <w:rFonts w:hint="eastAsia" w:ascii="宋体" w:hAnsi="宋体" w:cs="宋体"/>
                <w:i w:val="0"/>
                <w:iCs w:val="0"/>
                <w:color w:val="000000"/>
                <w:kern w:val="0"/>
                <w:sz w:val="24"/>
                <w:szCs w:val="24"/>
                <w:u w:val="none"/>
                <w:lang w:val="en-US" w:eastAsia="zh-CN" w:bidi="ar"/>
              </w:rPr>
              <w:t>3.4</w:t>
            </w:r>
          </w:p>
        </w:tc>
        <w:tc>
          <w:tcPr>
            <w:tcW w:w="7666" w:type="dxa"/>
            <w:vAlign w:val="top"/>
          </w:tcPr>
          <w:p>
            <w:pPr>
              <w:numPr>
                <w:ilvl w:val="0"/>
                <w:numId w:val="0"/>
              </w:numPr>
              <w:spacing w:line="360" w:lineRule="exact"/>
              <w:ind w:left="0" w:leftChars="0" w:firstLine="0" w:firstLineChars="0"/>
              <w:rPr>
                <w:rFonts w:ascii="宋体" w:hAnsi="宋体"/>
                <w:color w:val="FF0000"/>
                <w:sz w:val="24"/>
                <w:szCs w:val="24"/>
              </w:rPr>
            </w:pPr>
            <w:r>
              <w:rPr>
                <w:rFonts w:hint="eastAsia" w:ascii="宋体" w:hAnsi="宋体"/>
                <w:sz w:val="24"/>
              </w:rPr>
              <w:t>定时范围：2</w:t>
            </w:r>
            <w:r>
              <w:rPr>
                <w:rFonts w:ascii="宋体" w:hAnsi="宋体"/>
                <w:sz w:val="24"/>
              </w:rPr>
              <w:t>～</w:t>
            </w:r>
            <w:r>
              <w:rPr>
                <w:rFonts w:hint="eastAsia" w:ascii="宋体" w:hAnsi="宋体"/>
                <w:sz w:val="24"/>
              </w:rPr>
              <w:t>120min±1min；</w:t>
            </w:r>
          </w:p>
        </w:tc>
        <w:tc>
          <w:tcPr>
            <w:tcW w:w="1320"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color w:val="FF0000"/>
                <w:sz w:val="24"/>
                <w:szCs w:val="24"/>
              </w:rPr>
            </w:pPr>
            <w:r>
              <w:rPr>
                <w:rFonts w:hint="eastAsia" w:ascii="宋体" w:hAnsi="宋体" w:cs="宋体"/>
                <w:i w:val="0"/>
                <w:iCs w:val="0"/>
                <w:color w:val="000000"/>
                <w:kern w:val="0"/>
                <w:sz w:val="24"/>
                <w:szCs w:val="24"/>
                <w:u w:val="none"/>
                <w:lang w:val="en-US" w:eastAsia="zh-CN" w:bidi="ar"/>
              </w:rPr>
              <w:t>3.5</w:t>
            </w:r>
            <w:r>
              <w:rPr>
                <w:rFonts w:hint="eastAsia" w:ascii="宋体" w:hAnsi="宋体" w:eastAsia="宋体" w:cs="宋体"/>
                <w:i w:val="0"/>
                <w:iCs w:val="0"/>
                <w:color w:val="000000"/>
                <w:kern w:val="0"/>
                <w:sz w:val="24"/>
                <w:szCs w:val="24"/>
                <w:u w:val="none"/>
                <w:lang w:val="en-US" w:eastAsia="zh-CN" w:bidi="ar"/>
              </w:rPr>
              <w:t xml:space="preserve"> </w:t>
            </w:r>
          </w:p>
        </w:tc>
        <w:tc>
          <w:tcPr>
            <w:tcW w:w="7666" w:type="dxa"/>
            <w:vAlign w:val="top"/>
          </w:tcPr>
          <w:p>
            <w:pPr>
              <w:numPr>
                <w:ilvl w:val="0"/>
                <w:numId w:val="0"/>
              </w:numPr>
              <w:spacing w:line="360" w:lineRule="exact"/>
              <w:ind w:left="0" w:leftChars="0" w:firstLine="0" w:firstLineChars="0"/>
              <w:rPr>
                <w:rFonts w:ascii="宋体" w:hAnsi="宋体"/>
                <w:color w:val="FF0000"/>
                <w:sz w:val="24"/>
                <w:szCs w:val="24"/>
              </w:rPr>
            </w:pPr>
            <w:r>
              <w:rPr>
                <w:rFonts w:hint="eastAsia" w:ascii="宋体" w:hAnsi="宋体"/>
                <w:sz w:val="24"/>
              </w:rPr>
              <w:t>速度显示范围：0-99r/min±10%；</w:t>
            </w:r>
          </w:p>
        </w:tc>
        <w:tc>
          <w:tcPr>
            <w:tcW w:w="1320"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color w:val="FF0000"/>
                <w:sz w:val="24"/>
                <w:szCs w:val="24"/>
              </w:rPr>
            </w:pPr>
            <w:r>
              <w:rPr>
                <w:rFonts w:hint="eastAsia" w:ascii="宋体" w:hAnsi="宋体" w:cs="宋体"/>
                <w:i w:val="0"/>
                <w:iCs w:val="0"/>
                <w:color w:val="000000"/>
                <w:kern w:val="0"/>
                <w:sz w:val="24"/>
                <w:szCs w:val="24"/>
                <w:u w:val="none"/>
                <w:lang w:val="en-US" w:eastAsia="zh-CN" w:bidi="ar"/>
              </w:rPr>
              <w:t>3.6</w:t>
            </w:r>
            <w:r>
              <w:rPr>
                <w:rFonts w:hint="eastAsia" w:ascii="宋体" w:hAnsi="宋体" w:eastAsia="宋体" w:cs="宋体"/>
                <w:i w:val="0"/>
                <w:iCs w:val="0"/>
                <w:color w:val="000000"/>
                <w:kern w:val="0"/>
                <w:sz w:val="24"/>
                <w:szCs w:val="24"/>
                <w:u w:val="none"/>
                <w:lang w:val="en-US" w:eastAsia="zh-CN" w:bidi="ar"/>
              </w:rPr>
              <w:t xml:space="preserve"> </w:t>
            </w:r>
          </w:p>
        </w:tc>
        <w:tc>
          <w:tcPr>
            <w:tcW w:w="7666" w:type="dxa"/>
            <w:vAlign w:val="top"/>
          </w:tcPr>
          <w:p>
            <w:pPr>
              <w:numPr>
                <w:ilvl w:val="0"/>
                <w:numId w:val="0"/>
              </w:numPr>
              <w:spacing w:line="360" w:lineRule="exact"/>
              <w:ind w:left="0" w:leftChars="0" w:firstLine="0" w:firstLineChars="0"/>
              <w:rPr>
                <w:rFonts w:ascii="宋体" w:hAnsi="宋体"/>
                <w:color w:val="FF0000"/>
                <w:sz w:val="24"/>
                <w:szCs w:val="24"/>
              </w:rPr>
            </w:pPr>
            <w:r>
              <w:rPr>
                <w:rFonts w:hint="eastAsia" w:ascii="宋体" w:hAnsi="宋体"/>
                <w:sz w:val="24"/>
              </w:rPr>
              <w:t>速度设定范围：0-60r/min±10%；</w:t>
            </w:r>
          </w:p>
        </w:tc>
        <w:tc>
          <w:tcPr>
            <w:tcW w:w="1320"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color w:val="FF0000"/>
                <w:sz w:val="24"/>
                <w:szCs w:val="24"/>
              </w:rPr>
            </w:pPr>
            <w:r>
              <w:rPr>
                <w:rFonts w:hint="eastAsia" w:ascii="宋体" w:hAnsi="宋体" w:cs="宋体"/>
                <w:i w:val="0"/>
                <w:iCs w:val="0"/>
                <w:color w:val="000000"/>
                <w:kern w:val="0"/>
                <w:sz w:val="24"/>
                <w:szCs w:val="24"/>
                <w:u w:val="none"/>
                <w:lang w:val="en-US" w:eastAsia="zh-CN" w:bidi="ar"/>
              </w:rPr>
              <w:t>3.7</w:t>
            </w:r>
            <w:r>
              <w:rPr>
                <w:rFonts w:hint="eastAsia" w:ascii="宋体" w:hAnsi="宋体" w:eastAsia="宋体" w:cs="宋体"/>
                <w:i w:val="0"/>
                <w:iCs w:val="0"/>
                <w:color w:val="000000"/>
                <w:kern w:val="0"/>
                <w:sz w:val="24"/>
                <w:szCs w:val="24"/>
                <w:u w:val="none"/>
                <w:lang w:val="en-US" w:eastAsia="zh-CN" w:bidi="ar"/>
              </w:rPr>
              <w:t xml:space="preserve"> </w:t>
            </w:r>
          </w:p>
        </w:tc>
        <w:tc>
          <w:tcPr>
            <w:tcW w:w="7666" w:type="dxa"/>
            <w:vAlign w:val="top"/>
          </w:tcPr>
          <w:p>
            <w:pPr>
              <w:numPr>
                <w:ilvl w:val="0"/>
                <w:numId w:val="0"/>
              </w:numPr>
              <w:spacing w:line="360" w:lineRule="exact"/>
              <w:ind w:left="0" w:leftChars="0" w:firstLine="0" w:firstLineChars="0"/>
              <w:rPr>
                <w:rFonts w:ascii="宋体" w:hAnsi="宋体"/>
                <w:color w:val="FF0000"/>
                <w:sz w:val="24"/>
                <w:szCs w:val="24"/>
              </w:rPr>
            </w:pPr>
            <w:r>
              <w:rPr>
                <w:rFonts w:hint="eastAsia" w:ascii="宋体" w:hAnsi="宋体"/>
                <w:sz w:val="24"/>
              </w:rPr>
              <w:t>角度设定范围：0-330度±5；</w:t>
            </w:r>
          </w:p>
        </w:tc>
        <w:tc>
          <w:tcPr>
            <w:tcW w:w="1320"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color w:val="FF0000"/>
                <w:sz w:val="24"/>
                <w:szCs w:val="24"/>
              </w:rPr>
            </w:pPr>
            <w:r>
              <w:rPr>
                <w:rFonts w:hint="eastAsia" w:ascii="宋体" w:hAnsi="宋体" w:cs="宋体"/>
                <w:i w:val="0"/>
                <w:iCs w:val="0"/>
                <w:color w:val="000000"/>
                <w:kern w:val="0"/>
                <w:sz w:val="24"/>
                <w:szCs w:val="24"/>
                <w:u w:val="none"/>
                <w:lang w:val="en-US" w:eastAsia="zh-CN" w:bidi="ar"/>
              </w:rPr>
              <w:t>3.8</w:t>
            </w:r>
          </w:p>
        </w:tc>
        <w:tc>
          <w:tcPr>
            <w:tcW w:w="7666" w:type="dxa"/>
            <w:vAlign w:val="top"/>
          </w:tcPr>
          <w:p>
            <w:pPr>
              <w:numPr>
                <w:ilvl w:val="0"/>
                <w:numId w:val="0"/>
              </w:numPr>
              <w:spacing w:line="360" w:lineRule="exact"/>
              <w:ind w:left="0" w:leftChars="0" w:firstLine="0" w:firstLineChars="0"/>
              <w:rPr>
                <w:rFonts w:ascii="宋体" w:hAnsi="宋体"/>
                <w:color w:val="FF0000"/>
                <w:sz w:val="24"/>
                <w:szCs w:val="24"/>
              </w:rPr>
            </w:pPr>
            <w:r>
              <w:rPr>
                <w:rFonts w:hint="eastAsia" w:ascii="宋体" w:hAnsi="宋体"/>
                <w:sz w:val="24"/>
              </w:rPr>
              <w:t>阻力设定等级：1-20；</w:t>
            </w:r>
          </w:p>
        </w:tc>
        <w:tc>
          <w:tcPr>
            <w:tcW w:w="1320"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color w:val="FF0000"/>
                <w:sz w:val="24"/>
                <w:szCs w:val="24"/>
              </w:rPr>
            </w:pPr>
            <w:r>
              <w:rPr>
                <w:rFonts w:hint="eastAsia" w:ascii="宋体" w:hAnsi="宋体" w:cs="宋体"/>
                <w:i w:val="0"/>
                <w:iCs w:val="0"/>
                <w:color w:val="000000"/>
                <w:kern w:val="0"/>
                <w:sz w:val="24"/>
                <w:szCs w:val="24"/>
                <w:u w:val="none"/>
                <w:lang w:val="en-US" w:eastAsia="zh-CN" w:bidi="ar"/>
              </w:rPr>
              <w:t>3.9</w:t>
            </w:r>
            <w:r>
              <w:rPr>
                <w:rFonts w:hint="eastAsia" w:ascii="宋体" w:hAnsi="宋体" w:eastAsia="宋体" w:cs="宋体"/>
                <w:i w:val="0"/>
                <w:iCs w:val="0"/>
                <w:color w:val="000000"/>
                <w:kern w:val="0"/>
                <w:sz w:val="24"/>
                <w:szCs w:val="24"/>
                <w:u w:val="none"/>
                <w:lang w:val="en-US" w:eastAsia="zh-CN" w:bidi="ar"/>
              </w:rPr>
              <w:t xml:space="preserve"> </w:t>
            </w:r>
          </w:p>
        </w:tc>
        <w:tc>
          <w:tcPr>
            <w:tcW w:w="7666" w:type="dxa"/>
            <w:vAlign w:val="top"/>
          </w:tcPr>
          <w:p>
            <w:pPr>
              <w:numPr>
                <w:ilvl w:val="0"/>
                <w:numId w:val="0"/>
              </w:numPr>
              <w:spacing w:line="360" w:lineRule="exact"/>
              <w:ind w:left="0" w:leftChars="0" w:firstLine="0" w:firstLineChars="0"/>
              <w:rPr>
                <w:rFonts w:ascii="宋体" w:hAnsi="宋体"/>
                <w:color w:val="FF0000"/>
                <w:sz w:val="24"/>
                <w:szCs w:val="24"/>
              </w:rPr>
            </w:pPr>
            <w:r>
              <w:rPr>
                <w:rFonts w:hint="eastAsia" w:ascii="宋体" w:hAnsi="宋体"/>
                <w:sz w:val="24"/>
              </w:rPr>
              <w:t>阻力力矩：0-20Nm</w:t>
            </w:r>
          </w:p>
        </w:tc>
        <w:tc>
          <w:tcPr>
            <w:tcW w:w="1320"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color w:val="FF0000"/>
                <w:sz w:val="24"/>
                <w:szCs w:val="24"/>
              </w:rPr>
            </w:pPr>
            <w:r>
              <w:rPr>
                <w:rFonts w:hint="eastAsia" w:ascii="宋体" w:hAnsi="宋体" w:cs="宋体"/>
                <w:i w:val="0"/>
                <w:iCs w:val="0"/>
                <w:color w:val="000000"/>
                <w:kern w:val="0"/>
                <w:sz w:val="24"/>
                <w:szCs w:val="24"/>
                <w:u w:val="none"/>
                <w:lang w:val="en-US" w:eastAsia="zh-CN" w:bidi="ar"/>
              </w:rPr>
              <w:t>3.10</w:t>
            </w:r>
            <w:r>
              <w:rPr>
                <w:rFonts w:hint="eastAsia" w:ascii="宋体" w:hAnsi="宋体" w:eastAsia="宋体" w:cs="宋体"/>
                <w:i w:val="0"/>
                <w:iCs w:val="0"/>
                <w:color w:val="000000"/>
                <w:kern w:val="0"/>
                <w:sz w:val="24"/>
                <w:szCs w:val="24"/>
                <w:u w:val="none"/>
                <w:lang w:val="en-US" w:eastAsia="zh-CN" w:bidi="ar"/>
              </w:rPr>
              <w:t xml:space="preserve"> </w:t>
            </w:r>
          </w:p>
        </w:tc>
        <w:tc>
          <w:tcPr>
            <w:tcW w:w="7666" w:type="dxa"/>
            <w:vAlign w:val="top"/>
          </w:tcPr>
          <w:p>
            <w:pPr>
              <w:numPr>
                <w:ilvl w:val="0"/>
                <w:numId w:val="0"/>
              </w:numPr>
              <w:spacing w:line="360" w:lineRule="exact"/>
              <w:ind w:left="0" w:leftChars="0" w:firstLine="0" w:firstLineChars="0"/>
              <w:rPr>
                <w:rFonts w:ascii="宋体" w:hAnsi="宋体"/>
                <w:color w:val="FF0000"/>
                <w:sz w:val="24"/>
                <w:szCs w:val="24"/>
              </w:rPr>
            </w:pPr>
            <w:r>
              <w:rPr>
                <w:rFonts w:hint="eastAsia" w:ascii="宋体" w:hAnsi="宋体"/>
                <w:sz w:val="24"/>
              </w:rPr>
              <w:t>心率设定范围：0-150（设定级数每次5），精度±5次/min</w:t>
            </w:r>
          </w:p>
        </w:tc>
        <w:tc>
          <w:tcPr>
            <w:tcW w:w="1320"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color w:val="FF0000"/>
                <w:sz w:val="24"/>
                <w:szCs w:val="24"/>
              </w:rPr>
            </w:pPr>
            <w:r>
              <w:rPr>
                <w:rFonts w:hint="eastAsia" w:ascii="宋体" w:hAnsi="宋体" w:cs="宋体"/>
                <w:i w:val="0"/>
                <w:iCs w:val="0"/>
                <w:color w:val="000000"/>
                <w:kern w:val="0"/>
                <w:sz w:val="24"/>
                <w:szCs w:val="24"/>
                <w:u w:val="none"/>
                <w:lang w:val="en-US" w:eastAsia="zh-CN" w:bidi="ar"/>
              </w:rPr>
              <w:t>3.11</w:t>
            </w:r>
            <w:r>
              <w:rPr>
                <w:rFonts w:hint="eastAsia" w:ascii="宋体" w:hAnsi="宋体" w:eastAsia="宋体" w:cs="宋体"/>
                <w:i w:val="0"/>
                <w:iCs w:val="0"/>
                <w:color w:val="000000"/>
                <w:kern w:val="0"/>
                <w:sz w:val="24"/>
                <w:szCs w:val="24"/>
                <w:u w:val="none"/>
                <w:lang w:val="en-US" w:eastAsia="zh-CN" w:bidi="ar"/>
              </w:rPr>
              <w:t xml:space="preserve"> </w:t>
            </w:r>
          </w:p>
        </w:tc>
        <w:tc>
          <w:tcPr>
            <w:tcW w:w="7666" w:type="dxa"/>
            <w:vAlign w:val="top"/>
          </w:tcPr>
          <w:p>
            <w:pPr>
              <w:keepNext w:val="0"/>
              <w:keepLines w:val="0"/>
              <w:widowControl/>
              <w:suppressLineNumbers w:val="0"/>
              <w:jc w:val="left"/>
              <w:textAlignment w:val="top"/>
              <w:rPr>
                <w:rFonts w:ascii="宋体" w:hAnsi="宋体"/>
                <w:color w:val="FF0000"/>
                <w:sz w:val="24"/>
                <w:szCs w:val="24"/>
              </w:rPr>
            </w:pPr>
            <w:r>
              <w:rPr>
                <w:rFonts w:hint="eastAsia" w:ascii="宋体" w:hAnsi="宋体"/>
                <w:sz w:val="24"/>
              </w:rPr>
              <w:t>能够实时显示患者主动做功情况</w:t>
            </w:r>
          </w:p>
        </w:tc>
        <w:tc>
          <w:tcPr>
            <w:tcW w:w="1320"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color w:val="FF0000"/>
                <w:sz w:val="24"/>
                <w:szCs w:val="24"/>
              </w:rPr>
            </w:pPr>
            <w:r>
              <w:rPr>
                <w:rFonts w:hint="eastAsia" w:ascii="宋体" w:hAnsi="宋体" w:cs="宋体"/>
                <w:i w:val="0"/>
                <w:iCs w:val="0"/>
                <w:color w:val="000000"/>
                <w:kern w:val="0"/>
                <w:sz w:val="24"/>
                <w:szCs w:val="24"/>
                <w:u w:val="none"/>
                <w:lang w:val="en-US" w:eastAsia="zh-CN" w:bidi="ar"/>
              </w:rPr>
              <w:t>3.12</w:t>
            </w:r>
            <w:r>
              <w:rPr>
                <w:rFonts w:hint="eastAsia" w:ascii="宋体" w:hAnsi="宋体" w:eastAsia="宋体" w:cs="宋体"/>
                <w:i w:val="0"/>
                <w:iCs w:val="0"/>
                <w:color w:val="000000"/>
                <w:kern w:val="0"/>
                <w:sz w:val="24"/>
                <w:szCs w:val="24"/>
                <w:u w:val="none"/>
                <w:lang w:val="en-US" w:eastAsia="zh-CN" w:bidi="ar"/>
              </w:rPr>
              <w:t xml:space="preserve"> </w:t>
            </w:r>
          </w:p>
        </w:tc>
        <w:tc>
          <w:tcPr>
            <w:tcW w:w="7666" w:type="dxa"/>
            <w:vAlign w:val="top"/>
          </w:tcPr>
          <w:p>
            <w:pPr>
              <w:keepNext w:val="0"/>
              <w:keepLines w:val="0"/>
              <w:widowControl/>
              <w:suppressLineNumbers w:val="0"/>
              <w:jc w:val="left"/>
              <w:textAlignment w:val="top"/>
              <w:rPr>
                <w:rFonts w:ascii="宋体" w:hAnsi="宋体"/>
                <w:color w:val="FF0000"/>
                <w:sz w:val="24"/>
                <w:szCs w:val="24"/>
              </w:rPr>
            </w:pPr>
            <w:r>
              <w:rPr>
                <w:rFonts w:hint="eastAsia" w:ascii="宋体" w:hAnsi="宋体"/>
                <w:sz w:val="24"/>
                <w:szCs w:val="24"/>
              </w:rPr>
              <w:t>可以根据患者情况训练单元可高低调节，显示屏幕0-90度可调，充分考虑了患者训练体位</w:t>
            </w:r>
          </w:p>
        </w:tc>
        <w:tc>
          <w:tcPr>
            <w:tcW w:w="1320"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color w:val="FF0000"/>
                <w:sz w:val="24"/>
                <w:szCs w:val="24"/>
              </w:rPr>
            </w:pPr>
            <w:r>
              <w:rPr>
                <w:rFonts w:hint="eastAsia" w:ascii="宋体" w:hAnsi="宋体" w:cs="宋体"/>
                <w:i w:val="0"/>
                <w:iCs w:val="0"/>
                <w:color w:val="000000"/>
                <w:kern w:val="0"/>
                <w:sz w:val="24"/>
                <w:szCs w:val="24"/>
                <w:u w:val="none"/>
                <w:lang w:val="en-US" w:eastAsia="zh-CN" w:bidi="ar"/>
              </w:rPr>
              <w:t>3.13</w:t>
            </w:r>
            <w:r>
              <w:rPr>
                <w:rFonts w:hint="eastAsia" w:ascii="宋体" w:hAnsi="宋体" w:eastAsia="宋体" w:cs="宋体"/>
                <w:i w:val="0"/>
                <w:iCs w:val="0"/>
                <w:color w:val="000000"/>
                <w:kern w:val="0"/>
                <w:sz w:val="24"/>
                <w:szCs w:val="24"/>
                <w:u w:val="none"/>
                <w:lang w:val="en-US" w:eastAsia="zh-CN" w:bidi="ar"/>
              </w:rPr>
              <w:t xml:space="preserve"> </w:t>
            </w:r>
          </w:p>
        </w:tc>
        <w:tc>
          <w:tcPr>
            <w:tcW w:w="7666" w:type="dxa"/>
            <w:vAlign w:val="top"/>
          </w:tcPr>
          <w:p>
            <w:pPr>
              <w:keepNext w:val="0"/>
              <w:keepLines w:val="0"/>
              <w:widowControl/>
              <w:suppressLineNumbers w:val="0"/>
              <w:jc w:val="left"/>
              <w:textAlignment w:val="top"/>
              <w:rPr>
                <w:rFonts w:ascii="宋体" w:hAnsi="宋体"/>
                <w:color w:val="FF0000"/>
                <w:sz w:val="24"/>
                <w:szCs w:val="24"/>
              </w:rPr>
            </w:pPr>
            <w:r>
              <w:rPr>
                <w:rFonts w:hint="eastAsia" w:ascii="宋体" w:hAnsi="宋体"/>
                <w:color w:val="000000"/>
                <w:sz w:val="24"/>
                <w:szCs w:val="24"/>
                <w:lang w:eastAsia="zh-CN"/>
              </w:rPr>
              <w:t>具有中华人民共和国国家版权局出版的计算机软件著作权证书</w:t>
            </w:r>
          </w:p>
        </w:tc>
        <w:tc>
          <w:tcPr>
            <w:tcW w:w="1320"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keepNext w:val="0"/>
              <w:keepLines w:val="0"/>
              <w:widowControl/>
              <w:suppressLineNumbers w:val="0"/>
              <w:jc w:val="both"/>
              <w:textAlignment w:val="top"/>
              <w:rPr>
                <w:rFonts w:hint="eastAsia" w:ascii="宋体" w:hAnsi="宋体"/>
                <w:color w:val="FF0000"/>
                <w:sz w:val="24"/>
                <w:szCs w:val="24"/>
              </w:rPr>
            </w:pPr>
            <w:r>
              <w:rPr>
                <w:rFonts w:hint="eastAsia" w:ascii="宋体" w:hAnsi="宋体" w:cs="宋体"/>
                <w:i w:val="0"/>
                <w:iCs w:val="0"/>
                <w:color w:val="000000"/>
                <w:kern w:val="0"/>
                <w:sz w:val="24"/>
                <w:szCs w:val="24"/>
                <w:u w:val="none"/>
                <w:lang w:val="en-US" w:eastAsia="zh-CN" w:bidi="ar"/>
              </w:rPr>
              <w:t>3.14</w:t>
            </w:r>
            <w:r>
              <w:rPr>
                <w:rFonts w:hint="eastAsia" w:ascii="宋体" w:hAnsi="宋体" w:eastAsia="宋体" w:cs="宋体"/>
                <w:i w:val="0"/>
                <w:iCs w:val="0"/>
                <w:color w:val="000000"/>
                <w:kern w:val="0"/>
                <w:sz w:val="24"/>
                <w:szCs w:val="24"/>
                <w:u w:val="none"/>
                <w:lang w:val="en-US" w:eastAsia="zh-CN" w:bidi="ar"/>
              </w:rPr>
              <w:t xml:space="preserve"> </w:t>
            </w:r>
          </w:p>
        </w:tc>
        <w:tc>
          <w:tcPr>
            <w:tcW w:w="7666" w:type="dxa"/>
            <w:vAlign w:val="top"/>
          </w:tcPr>
          <w:p>
            <w:pPr>
              <w:keepNext w:val="0"/>
              <w:keepLines w:val="0"/>
              <w:widowControl/>
              <w:suppressLineNumbers w:val="0"/>
              <w:jc w:val="left"/>
              <w:textAlignment w:val="top"/>
              <w:rPr>
                <w:rFonts w:ascii="宋体" w:hAnsi="宋体"/>
                <w:color w:val="FF0000"/>
                <w:sz w:val="24"/>
                <w:szCs w:val="24"/>
              </w:rPr>
            </w:pPr>
            <w:r>
              <w:rPr>
                <w:rFonts w:hint="eastAsia" w:ascii="宋体" w:hAnsi="宋体"/>
                <w:kern w:val="4"/>
                <w:sz w:val="24"/>
              </w:rPr>
              <w:t>通过ISO9001国际质量体系认证</w:t>
            </w:r>
          </w:p>
        </w:tc>
        <w:tc>
          <w:tcPr>
            <w:tcW w:w="1320"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三</w:t>
            </w:r>
          </w:p>
        </w:tc>
        <w:tc>
          <w:tcPr>
            <w:tcW w:w="7666" w:type="dxa"/>
            <w:vAlign w:val="top"/>
          </w:tcPr>
          <w:p>
            <w:pPr>
              <w:rPr>
                <w:rFonts w:hint="eastAsia" w:asciiTheme="minorEastAsia" w:hAnsiTheme="minorEastAsia" w:eastAsiaTheme="minorEastAsia" w:cstheme="minorEastAsia"/>
                <w:sz w:val="24"/>
                <w:szCs w:val="24"/>
              </w:rPr>
            </w:pPr>
            <w:r>
              <w:rPr>
                <w:rFonts w:hint="eastAsia" w:ascii="宋体" w:hAnsi="宋体"/>
                <w:b/>
                <w:sz w:val="24"/>
                <w:szCs w:val="24"/>
              </w:rPr>
              <w:t>安装验收</w:t>
            </w:r>
          </w:p>
        </w:tc>
        <w:tc>
          <w:tcPr>
            <w:tcW w:w="1320" w:type="dxa"/>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6" w:type="dxa"/>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3.1</w:t>
            </w:r>
          </w:p>
        </w:tc>
        <w:tc>
          <w:tcPr>
            <w:tcW w:w="7666"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安装地点：医院指定科室；</w:t>
            </w:r>
          </w:p>
        </w:tc>
        <w:tc>
          <w:tcPr>
            <w:tcW w:w="1320" w:type="dxa"/>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3.2</w:t>
            </w:r>
          </w:p>
        </w:tc>
        <w:tc>
          <w:tcPr>
            <w:tcW w:w="7666"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安装完成时间：合同签订后1个月内交货，接买方通知后3天内完成安装；</w:t>
            </w:r>
          </w:p>
        </w:tc>
        <w:tc>
          <w:tcPr>
            <w:tcW w:w="1320" w:type="dxa"/>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3.3</w:t>
            </w:r>
          </w:p>
        </w:tc>
        <w:tc>
          <w:tcPr>
            <w:tcW w:w="7666"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安装标准：符合我国国家有关技术规范和技术标准；</w:t>
            </w:r>
          </w:p>
        </w:tc>
        <w:tc>
          <w:tcPr>
            <w:tcW w:w="132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3.4</w:t>
            </w:r>
          </w:p>
        </w:tc>
        <w:tc>
          <w:tcPr>
            <w:tcW w:w="7666"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验收标准：符合我国国家有关技术规范和技术标准。</w:t>
            </w:r>
          </w:p>
        </w:tc>
        <w:tc>
          <w:tcPr>
            <w:tcW w:w="132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3.5</w:t>
            </w:r>
          </w:p>
        </w:tc>
        <w:tc>
          <w:tcPr>
            <w:tcW w:w="7666"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安装、验收合格前所产生的一切费用（包括卸货、搬运、必要时的安全性能检测费等）由供方负责提供。</w:t>
            </w:r>
          </w:p>
        </w:tc>
        <w:tc>
          <w:tcPr>
            <w:tcW w:w="132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四</w:t>
            </w:r>
          </w:p>
        </w:tc>
        <w:tc>
          <w:tcPr>
            <w:tcW w:w="7666" w:type="dxa"/>
            <w:vAlign w:val="top"/>
          </w:tcPr>
          <w:p>
            <w:pPr>
              <w:rPr>
                <w:rFonts w:hint="eastAsia" w:asciiTheme="minorEastAsia" w:hAnsiTheme="minorEastAsia" w:eastAsiaTheme="minorEastAsia" w:cstheme="minorEastAsia"/>
                <w:sz w:val="24"/>
                <w:szCs w:val="24"/>
              </w:rPr>
            </w:pPr>
            <w:r>
              <w:rPr>
                <w:rFonts w:hint="eastAsia" w:ascii="宋体" w:hAnsi="宋体"/>
                <w:b/>
                <w:sz w:val="24"/>
                <w:szCs w:val="24"/>
              </w:rPr>
              <w:t>售后服务</w:t>
            </w:r>
          </w:p>
        </w:tc>
        <w:tc>
          <w:tcPr>
            <w:tcW w:w="132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4.1</w:t>
            </w:r>
          </w:p>
        </w:tc>
        <w:tc>
          <w:tcPr>
            <w:tcW w:w="7666"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免费保修：设备验收合格后保修≥1年，期间免一切维修费用；</w:t>
            </w:r>
          </w:p>
        </w:tc>
        <w:tc>
          <w:tcPr>
            <w:tcW w:w="132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五</w:t>
            </w:r>
          </w:p>
        </w:tc>
        <w:tc>
          <w:tcPr>
            <w:tcW w:w="7666" w:type="dxa"/>
            <w:vAlign w:val="top"/>
          </w:tcPr>
          <w:p>
            <w:pPr>
              <w:rPr>
                <w:rFonts w:hint="eastAsia" w:asciiTheme="minorEastAsia" w:hAnsiTheme="minorEastAsia" w:eastAsiaTheme="minorEastAsia" w:cstheme="minorEastAsia"/>
                <w:sz w:val="24"/>
                <w:szCs w:val="24"/>
              </w:rPr>
            </w:pPr>
            <w:r>
              <w:rPr>
                <w:rFonts w:hint="eastAsia" w:ascii="宋体" w:hAnsi="宋体"/>
                <w:b/>
                <w:sz w:val="24"/>
                <w:szCs w:val="24"/>
              </w:rPr>
              <w:t>其他要求</w:t>
            </w:r>
          </w:p>
        </w:tc>
        <w:tc>
          <w:tcPr>
            <w:tcW w:w="132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5.1</w:t>
            </w:r>
          </w:p>
        </w:tc>
        <w:tc>
          <w:tcPr>
            <w:tcW w:w="7666"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属于医疗器械管理范围的产品必须提供医疗器械注册证及注册登记表</w:t>
            </w:r>
          </w:p>
        </w:tc>
        <w:tc>
          <w:tcPr>
            <w:tcW w:w="132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5.2</w:t>
            </w:r>
          </w:p>
        </w:tc>
        <w:tc>
          <w:tcPr>
            <w:tcW w:w="7666"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厂家承诺提供设备免费保修期（含消耗品、易损品、维修配件、人工服务等）≥ 1年。提供过保后年保价格</w:t>
            </w:r>
          </w:p>
        </w:tc>
        <w:tc>
          <w:tcPr>
            <w:tcW w:w="132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5.3</w:t>
            </w:r>
          </w:p>
        </w:tc>
        <w:tc>
          <w:tcPr>
            <w:tcW w:w="7666"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操作手册、维修手册：提供操作手册、维修手册各一套</w:t>
            </w:r>
          </w:p>
        </w:tc>
        <w:tc>
          <w:tcPr>
            <w:tcW w:w="132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5.4</w:t>
            </w:r>
          </w:p>
        </w:tc>
        <w:tc>
          <w:tcPr>
            <w:tcW w:w="7666"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培训：提供临床应用操作培训,并提供临床资料(培训ppt、考核试题)</w:t>
            </w:r>
          </w:p>
        </w:tc>
        <w:tc>
          <w:tcPr>
            <w:tcW w:w="132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5.5</w:t>
            </w:r>
          </w:p>
        </w:tc>
        <w:tc>
          <w:tcPr>
            <w:tcW w:w="7666"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软件终身免费升级</w:t>
            </w:r>
          </w:p>
        </w:tc>
        <w:tc>
          <w:tcPr>
            <w:tcW w:w="132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5.6</w:t>
            </w:r>
          </w:p>
        </w:tc>
        <w:tc>
          <w:tcPr>
            <w:tcW w:w="7666"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付款方式:验收合格后90工作日内付款，投标商开具单张发票限额必须大于投标单台设备价格</w:t>
            </w:r>
          </w:p>
        </w:tc>
        <w:tc>
          <w:tcPr>
            <w:tcW w:w="132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6"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5.7</w:t>
            </w:r>
          </w:p>
        </w:tc>
        <w:tc>
          <w:tcPr>
            <w:tcW w:w="7666"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投标商提供的设备必须在距投标当日10个月内生产</w:t>
            </w:r>
          </w:p>
        </w:tc>
        <w:tc>
          <w:tcPr>
            <w:tcW w:w="132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936"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5.8</w:t>
            </w:r>
          </w:p>
        </w:tc>
        <w:tc>
          <w:tcPr>
            <w:tcW w:w="7666"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其它优惠条款</w:t>
            </w:r>
          </w:p>
        </w:tc>
        <w:tc>
          <w:tcPr>
            <w:tcW w:w="1320" w:type="dxa"/>
            <w:vAlign w:val="top"/>
          </w:tcPr>
          <w:p>
            <w:pPr>
              <w:rPr>
                <w:rFonts w:hint="eastAsia" w:asciiTheme="minorEastAsia" w:hAnsiTheme="minorEastAsia" w:eastAsiaTheme="minorEastAsia" w:cstheme="minorEastAsia"/>
                <w:kern w:val="0"/>
                <w:sz w:val="24"/>
                <w:szCs w:val="24"/>
              </w:rPr>
            </w:pPr>
          </w:p>
        </w:tc>
      </w:tr>
    </w:tbl>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2"/>
          <w:rFonts w:hint="eastAsia" w:asciiTheme="minorEastAsia" w:hAnsiTheme="minorEastAsia" w:eastAsiaTheme="minorEastAsia" w:cstheme="minorEastAsia"/>
          <w:b/>
          <w:bCs/>
          <w:kern w:val="2"/>
          <w:sz w:val="28"/>
          <w:szCs w:val="28"/>
          <w:lang w:val="en-US" w:eastAsia="zh-CN" w:bidi="ar-SA"/>
        </w:rPr>
      </w:pPr>
      <w:r>
        <w:rPr>
          <w:rStyle w:val="12"/>
          <w:rFonts w:hint="eastAsia" w:asciiTheme="minorEastAsia" w:hAnsiTheme="minorEastAsia" w:eastAsiaTheme="minorEastAsia" w:cstheme="minorEastAsia"/>
          <w:b/>
          <w:bCs/>
          <w:kern w:val="2"/>
          <w:sz w:val="28"/>
          <w:szCs w:val="28"/>
          <w:lang w:val="en-US" w:eastAsia="zh-CN" w:bidi="ar-SA"/>
        </w:rPr>
        <w:t>评分细则</w:t>
      </w:r>
    </w:p>
    <w:p>
      <w:pPr>
        <w:spacing w:line="360" w:lineRule="auto"/>
        <w:ind w:firstLine="457" w:firstLineChars="196"/>
        <w:rPr>
          <w:rStyle w:val="12"/>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9"/>
        <w:tblW w:w="936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945"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招标文件第四部分招标内容及要求的设备技术规格及配置对比，实质性条款除外，标注★的技术指标（或功能）偏离每项扣4分，一般技术指标偏离每项扣1分，一般功能偏离每项扣3分，商务要求偏离每项扣3分。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设备</w:t>
            </w:r>
            <w:r>
              <w:rPr>
                <w:rFonts w:hint="eastAsia" w:asciiTheme="minorEastAsia" w:hAnsiTheme="minorEastAsia" w:eastAsiaTheme="minorEastAsia" w:cstheme="minorEastAsia"/>
                <w:sz w:val="24"/>
                <w:szCs w:val="24"/>
              </w:rPr>
              <w:t>保修期超过招标文件要求的，每增加1年加1分</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r>
              <w:rPr>
                <w:rFonts w:hint="eastAsia" w:asciiTheme="minorEastAsia" w:hAnsiTheme="minorEastAsia" w:cstheme="minorEastAsia"/>
                <w:sz w:val="24"/>
                <w:szCs w:val="24"/>
                <w:lang w:eastAsia="zh-CN"/>
              </w:rPr>
              <w:t>温州市或浙江省内</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年1月1日起至今与最终用户签订的投标机型合同复印件，每份有效合同得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分，最多</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r>
              <w:rPr>
                <w:rFonts w:hint="eastAsia" w:asciiTheme="minorEastAsia" w:hAnsiTheme="minorEastAsia" w:cstheme="minorEastAsia"/>
                <w:sz w:val="24"/>
                <w:szCs w:val="24"/>
                <w:lang w:eastAsia="zh-CN"/>
              </w:rPr>
              <w:t>（厂家在温州市或者浙江省内有常驻维修服务点和维修工程师得</w:t>
            </w:r>
            <w:r>
              <w:rPr>
                <w:rFonts w:hint="eastAsia" w:asciiTheme="minorEastAsia" w:hAnsiTheme="minorEastAsia" w:cstheme="minorEastAsia"/>
                <w:sz w:val="24"/>
                <w:szCs w:val="24"/>
                <w:lang w:val="en-US" w:eastAsia="zh-CN"/>
              </w:rPr>
              <w:t>1分，代理商有维修服务人员得1分，承诺用户报修后四小时内维修人员能到场维修的得1分</w:t>
            </w:r>
            <w:r>
              <w:rPr>
                <w:rFonts w:hint="eastAsia" w:asciiTheme="minorEastAsia" w:hAnsiTheme="minorEastAsia" w:cstheme="minorEastAsia"/>
                <w:sz w:val="24"/>
                <w:szCs w:val="24"/>
                <w:lang w:eastAsia="zh-CN"/>
              </w:rPr>
              <w:t>）</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numPr>
          <w:ilvl w:val="0"/>
          <w:numId w:val="0"/>
        </w:numPr>
        <w:jc w:val="left"/>
        <w:rPr>
          <w:rFonts w:hint="eastAsia"/>
          <w:b/>
          <w:bCs/>
          <w:sz w:val="24"/>
          <w:lang w:val="en-US" w:eastAsia="zh-CN"/>
        </w:rPr>
      </w:pPr>
    </w:p>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2"/>
          <w:rFonts w:hint="default" w:eastAsia="宋体" w:asciiTheme="minorEastAsia" w:hAnsiTheme="minorEastAsia" w:cstheme="minorEastAsia"/>
          <w:b/>
          <w:bCs/>
          <w:kern w:val="2"/>
          <w:sz w:val="32"/>
          <w:szCs w:val="32"/>
          <w:lang w:val="en-US" w:eastAsia="zh-CN" w:bidi="ar-SA"/>
        </w:rPr>
      </w:pPr>
      <w:r>
        <w:rPr>
          <w:rStyle w:val="12"/>
          <w:rFonts w:hint="eastAsia" w:eastAsia="宋体" w:asciiTheme="minorEastAsia" w:hAnsiTheme="minorEastAsia" w:cstheme="minorEastAsia"/>
          <w:b/>
          <w:bCs/>
          <w:kern w:val="2"/>
          <w:sz w:val="32"/>
          <w:szCs w:val="32"/>
          <w:lang w:val="en-US" w:eastAsia="zh-CN" w:bidi="ar-SA"/>
        </w:rPr>
        <w:t>九、</w:t>
      </w:r>
      <w:r>
        <w:rPr>
          <w:rStyle w:val="12"/>
          <w:rFonts w:hint="eastAsia" w:eastAsia="宋体" w:asciiTheme="minorEastAsia" w:hAnsiTheme="minorEastAsia" w:cstheme="minorEastAsia"/>
          <w:b/>
          <w:bCs/>
          <w:kern w:val="2"/>
          <w:sz w:val="28"/>
          <w:szCs w:val="28"/>
          <w:lang w:val="en-US" w:eastAsia="zh-CN" w:bidi="ar-SA"/>
        </w:rPr>
        <w:t>我院正式合同版本</w:t>
      </w:r>
    </w:p>
    <w:p>
      <w:pPr>
        <w:pStyle w:val="8"/>
        <w:rPr>
          <w:rFonts w:hint="eastAsia"/>
          <w:sz w:val="30"/>
          <w:szCs w:val="30"/>
        </w:rPr>
      </w:pPr>
    </w:p>
    <w:p>
      <w:pPr>
        <w:pStyle w:val="8"/>
        <w:rPr>
          <w:sz w:val="28"/>
          <w:szCs w:val="28"/>
        </w:rPr>
      </w:pPr>
      <w:r>
        <w:rPr>
          <w:rFonts w:hint="eastAsia"/>
          <w:sz w:val="28"/>
          <w:szCs w:val="28"/>
        </w:rPr>
        <w:t>温州市中医院医疗设备采购合同</w:t>
      </w:r>
    </w:p>
    <w:p>
      <w:pPr>
        <w:rPr>
          <w:w w:val="95"/>
        </w:rPr>
      </w:pPr>
      <w:r>
        <w:rPr>
          <w:rFonts w:hint="eastAsia"/>
          <w:w w:val="95"/>
        </w:rPr>
        <w:t xml:space="preserve">                                          </w:t>
      </w:r>
      <w:r>
        <w:rPr>
          <w:rFonts w:hint="eastAsia" w:asciiTheme="minorEastAsia" w:hAnsiTheme="minorEastAsia" w:eastAsiaTheme="minorEastAsia" w:cstheme="minorEastAsia"/>
          <w:color w:val="000000" w:themeColor="text1"/>
          <w:kern w:val="0"/>
          <w:sz w:val="24"/>
          <w:szCs w:val="24"/>
          <w:lang w:val="zh-CN" w:eastAsia="zh-CN" w:bidi="zh-CN"/>
          <w14:textFill>
            <w14:solidFill>
              <w14:schemeClr w14:val="tx1"/>
            </w14:solidFill>
          </w14:textFill>
        </w:rPr>
        <w:t>合同编号：</w:t>
      </w:r>
      <w:r>
        <w:rPr>
          <w:rFonts w:hint="eastAsia"/>
          <w:w w:val="95"/>
        </w:rPr>
        <w:t xml:space="preserve">          </w:t>
      </w:r>
    </w:p>
    <w:p>
      <w:pPr>
        <w:spacing w:before="107" w:line="220" w:lineRule="atLeast"/>
        <w:ind w:left="1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甲方（采购单位）：温州市中医院</w:t>
      </w:r>
    </w:p>
    <w:p>
      <w:pPr>
        <w:spacing w:before="107" w:line="220" w:lineRule="atLeast"/>
        <w:ind w:left="1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乙方（供应商）： </w:t>
      </w:r>
    </w:p>
    <w:p>
      <w:pPr>
        <w:pStyle w:val="4"/>
        <w:spacing w:before="106"/>
        <w:ind w:left="111" w:right="209" w:firstLine="600" w:firstLineChars="2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根据《中华人民共</w:t>
      </w:r>
      <w:r>
        <w:rPr>
          <w:rFonts w:hint="eastAsia" w:asciiTheme="minorEastAsia" w:hAnsiTheme="minorEastAsia" w:eastAsiaTheme="minorEastAsia" w:cstheme="minorEastAsia"/>
          <w:color w:val="000000" w:themeColor="text1"/>
          <w:sz w:val="24"/>
          <w:szCs w:val="24"/>
          <w14:textFill>
            <w14:solidFill>
              <w14:schemeClr w14:val="tx1"/>
            </w14:solidFill>
          </w14:textFill>
        </w:rPr>
        <w:t>和国政府采购法》、《中华人民共和国民法典》等相关法律法规，以及</w:t>
      </w:r>
      <w:r>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t>(招标编号)</w:t>
      </w:r>
      <w:r>
        <w:rPr>
          <w:rFonts w:hint="eastAsia" w:asciiTheme="minorEastAsia" w:hAnsiTheme="minorEastAsia" w:eastAsiaTheme="minorEastAsia" w:cstheme="minorEastAsia"/>
          <w:color w:val="000000" w:themeColor="text1"/>
          <w:w w:val="95"/>
          <w:sz w:val="24"/>
          <w:szCs w:val="24"/>
          <w14:textFill>
            <w14:solidFill>
              <w14:schemeClr w14:val="tx1"/>
            </w14:solidFill>
          </w14:textFill>
        </w:rPr>
        <w:t>项</w:t>
      </w:r>
      <w:r>
        <w:rPr>
          <w:rFonts w:hint="eastAsia" w:asciiTheme="minorEastAsia" w:hAnsiTheme="minorEastAsia" w:eastAsiaTheme="minorEastAsia" w:cstheme="minorEastAsia"/>
          <w:color w:val="000000" w:themeColor="text1"/>
          <w:sz w:val="24"/>
          <w:szCs w:val="24"/>
          <w14:textFill>
            <w14:solidFill>
              <w14:schemeClr w14:val="tx1"/>
            </w14:solidFill>
          </w14:textFill>
        </w:rPr>
        <w:t>目（以下简称“项目”）招标文件、中标供应商投标文件、项目采购协议，或入围承诺书，甲乙双方经协商一致，签署本合同。</w:t>
      </w:r>
    </w:p>
    <w:p>
      <w:pPr>
        <w:pStyle w:val="3"/>
        <w:numPr>
          <w:ilvl w:val="0"/>
          <w:numId w:val="3"/>
        </w:numPr>
        <w:spacing w:before="84" w:after="1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货物内容及合同价格</w:t>
      </w:r>
    </w:p>
    <w:tbl>
      <w:tblPr>
        <w:tblStyle w:val="9"/>
        <w:tblW w:w="8364"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1418"/>
        <w:gridCol w:w="1559"/>
        <w:gridCol w:w="2126"/>
        <w:gridCol w:w="993"/>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9" w:hRule="atLeast"/>
        </w:trPr>
        <w:tc>
          <w:tcPr>
            <w:tcW w:w="1134" w:type="dxa"/>
            <w:vAlign w:val="center"/>
          </w:tcPr>
          <w:p>
            <w:pPr>
              <w:pStyle w:val="16"/>
              <w:spacing w:before="11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货物名称</w:t>
            </w:r>
          </w:p>
        </w:tc>
        <w:tc>
          <w:tcPr>
            <w:tcW w:w="1418" w:type="dxa"/>
            <w:vAlign w:val="center"/>
          </w:tcPr>
          <w:p>
            <w:pPr>
              <w:pStyle w:val="16"/>
              <w:spacing w:before="116"/>
              <w:ind w:right="27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品牌</w:t>
            </w:r>
          </w:p>
        </w:tc>
        <w:tc>
          <w:tcPr>
            <w:tcW w:w="1559" w:type="dxa"/>
            <w:vAlign w:val="center"/>
          </w:tcPr>
          <w:p>
            <w:pPr>
              <w:pStyle w:val="16"/>
              <w:spacing w:before="116"/>
              <w:ind w:left="287" w:right="27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型号规格</w:t>
            </w:r>
          </w:p>
        </w:tc>
        <w:tc>
          <w:tcPr>
            <w:tcW w:w="2126" w:type="dxa"/>
            <w:vAlign w:val="center"/>
          </w:tcPr>
          <w:p>
            <w:pPr>
              <w:pStyle w:val="16"/>
              <w:spacing w:before="116"/>
              <w:ind w:left="71" w:right="61"/>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配置要求</w:t>
            </w:r>
          </w:p>
        </w:tc>
        <w:tc>
          <w:tcPr>
            <w:tcW w:w="993" w:type="dxa"/>
            <w:vAlign w:val="center"/>
          </w:tcPr>
          <w:p>
            <w:pPr>
              <w:pStyle w:val="16"/>
              <w:spacing w:before="116"/>
              <w:ind w:left="71" w:right="61"/>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数量</w:t>
            </w:r>
          </w:p>
        </w:tc>
        <w:tc>
          <w:tcPr>
            <w:tcW w:w="1134" w:type="dxa"/>
            <w:vAlign w:val="center"/>
          </w:tcPr>
          <w:p>
            <w:pPr>
              <w:pStyle w:val="16"/>
              <w:spacing w:before="116"/>
              <w:ind w:left="71" w:right="62"/>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93" w:hRule="atLeast"/>
        </w:trPr>
        <w:tc>
          <w:tcPr>
            <w:tcW w:w="1134"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418"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559"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2126"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93"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34"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93" w:hRule="atLeast"/>
        </w:trPr>
        <w:tc>
          <w:tcPr>
            <w:tcW w:w="1134"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418"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559"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2126"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93"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34"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65" w:hRule="atLeast"/>
        </w:trPr>
        <w:tc>
          <w:tcPr>
            <w:tcW w:w="8364" w:type="dxa"/>
            <w:gridSpan w:val="6"/>
          </w:tcPr>
          <w:p>
            <w:pPr>
              <w:pStyle w:val="16"/>
              <w:spacing w:before="116"/>
              <w:ind w:firstLine="1920" w:firstLineChars="8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合同总价大写</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                           小写：￥</w:t>
            </w:r>
          </w:p>
        </w:tc>
      </w:tr>
    </w:tbl>
    <w:p>
      <w:pPr>
        <w:ind w:right="1636"/>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金额单位：元</w:t>
      </w:r>
    </w:p>
    <w:p>
      <w:pPr>
        <w:pStyle w:val="4"/>
        <w:spacing w:line="0" w:lineRule="atLeast"/>
        <w:ind w:right="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注：1、商品型号、数量、配置要求及使用单位地址等详见附件清单</w:t>
      </w:r>
    </w:p>
    <w:p>
      <w:pPr>
        <w:pStyle w:val="4"/>
        <w:spacing w:line="0" w:lineRule="atLeast"/>
        <w:ind w:left="105" w:right="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2、以上合同总价包含货物到达用户并能正常使用所需的一切费用，包括但不限于包装费、运输费、装卸费、保险费、安装调试费、技术服务费、培训费以及保修费、税费等。</w:t>
      </w:r>
    </w:p>
    <w:p>
      <w:pPr>
        <w:pStyle w:val="3"/>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二、技术资料</w:t>
      </w:r>
    </w:p>
    <w:p>
      <w:pPr>
        <w:pStyle w:val="17"/>
        <w:numPr>
          <w:ilvl w:val="0"/>
          <w:numId w:val="4"/>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乙方应按招标文件规定的时间向甲方提供使用货物的有关技术资料。</w:t>
      </w:r>
    </w:p>
    <w:p>
      <w:pPr>
        <w:pStyle w:val="17"/>
        <w:numPr>
          <w:ilvl w:val="0"/>
          <w:numId w:val="4"/>
        </w:numPr>
        <w:tabs>
          <w:tab w:val="left" w:pos="522"/>
        </w:tabs>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三、知识产权</w:t>
      </w:r>
    </w:p>
    <w:p>
      <w:pPr>
        <w:pStyle w:val="4"/>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乙方应保证所提供的货物或其任何一部分均不会侵犯任何第三方的知识产权。</w:t>
      </w:r>
    </w:p>
    <w:p>
      <w:pPr>
        <w:pStyle w:val="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四、产权担保</w:t>
      </w:r>
    </w:p>
    <w:p>
      <w:pPr>
        <w:pStyle w:val="4"/>
        <w:spacing w:before="23"/>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乙方保证所交付的货物的所有权完全属于乙方且无任何抵押、查封等产权瑕疵。</w:t>
      </w:r>
    </w:p>
    <w:p>
      <w:pPr>
        <w:pStyle w:val="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五、转包或分包</w:t>
      </w:r>
    </w:p>
    <w:p>
      <w:pPr>
        <w:pStyle w:val="4"/>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本合同范围的货物，应由乙方直接供应，不得转让他人供应，否则，甲方有权解除合同，没收质量保证金并追究乙方的违约责任。</w:t>
      </w:r>
    </w:p>
    <w:p>
      <w:pPr>
        <w:pStyle w:val="3"/>
        <w:spacing w:before="10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六、质保期和质保金</w:t>
      </w:r>
    </w:p>
    <w:p>
      <w:pPr>
        <w:pStyle w:val="17"/>
        <w:numPr>
          <w:ilvl w:val="0"/>
          <w:numId w:val="5"/>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质保期为</w:t>
      </w:r>
      <w:r>
        <w:rPr>
          <w:rFonts w:hint="eastAsia" w:asciiTheme="minorEastAsia" w:hAnsiTheme="minorEastAsia" w:eastAsiaTheme="minorEastAsia" w:cstheme="minorEastAsia"/>
          <w:color w:val="000000" w:themeColor="text1"/>
          <w:spacing w:val="-6"/>
          <w:sz w:val="24"/>
          <w:szCs w:val="24"/>
          <w:u w:val="single"/>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lang w:val="en-US"/>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14:textFill>
            <w14:solidFill>
              <w14:schemeClr w14:val="tx1"/>
            </w14:solidFill>
          </w14:textFill>
        </w:rPr>
        <w:t>。（自交货验收合格之日起计）</w:t>
      </w:r>
    </w:p>
    <w:p>
      <w:pPr>
        <w:pStyle w:val="17"/>
        <w:numPr>
          <w:ilvl w:val="0"/>
          <w:numId w:val="5"/>
        </w:numPr>
        <w:tabs>
          <w:tab w:val="left" w:pos="522"/>
          <w:tab w:val="left" w:pos="1347"/>
        </w:tabs>
        <w:spacing w:before="7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质保金</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0</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质量保证金于合同签订后</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日内</w:t>
      </w:r>
      <w:r>
        <w:rPr>
          <w:rFonts w:hint="eastAsia" w:asciiTheme="minorEastAsia" w:hAnsiTheme="minorEastAsia" w:eastAsiaTheme="minorEastAsia" w:cstheme="minorEastAsia"/>
          <w:color w:val="000000" w:themeColor="text1"/>
          <w:sz w:val="24"/>
          <w:szCs w:val="24"/>
          <w14:textFill>
            <w14:solidFill>
              <w14:schemeClr w14:val="tx1"/>
            </w14:solidFill>
          </w14:textFill>
        </w:rPr>
        <w:t>交给采购单位，在合同约定交货验收合格满（</w:t>
      </w:r>
      <w:r>
        <w:rPr>
          <w:rFonts w:hint="eastAsia" w:asciiTheme="minorEastAsia" w:hAnsiTheme="minorEastAsia" w:eastAsiaTheme="minorEastAsia" w:cstheme="minorEastAsia"/>
          <w:color w:val="000000" w:themeColor="text1"/>
          <w:spacing w:val="-28"/>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8"/>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）个月之日起</w:t>
      </w:r>
      <w:r>
        <w:rPr>
          <w:rFonts w:hint="eastAsia" w:asciiTheme="minorEastAsia" w:hAnsiTheme="minorEastAsia" w:eastAsiaTheme="minorEastAsia" w:cstheme="minorEastAsia"/>
          <w:color w:val="000000" w:themeColor="text1"/>
          <w:spacing w:val="-28"/>
          <w:sz w:val="24"/>
          <w:szCs w:val="24"/>
          <w:lang w:val="en-US"/>
          <w14:textFill>
            <w14:solidFill>
              <w14:schemeClr w14:val="tx1"/>
            </w14:solidFill>
          </w14:textFill>
        </w:rPr>
        <w:t xml:space="preserve"> 5 </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个工作日内无息退还]</w:t>
      </w:r>
    </w:p>
    <w:p>
      <w:pPr>
        <w:pStyle w:val="3"/>
        <w:spacing w:before="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七、交货期、交货方式及交货地点</w:t>
      </w:r>
    </w:p>
    <w:p>
      <w:pPr>
        <w:pStyle w:val="17"/>
        <w:numPr>
          <w:ilvl w:val="0"/>
          <w:numId w:val="6"/>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交货期：合同签订后</w:t>
      </w:r>
      <w:r>
        <w:rPr>
          <w:rFonts w:hint="eastAsia" w:asciiTheme="minorEastAsia" w:hAnsiTheme="minorEastAsia" w:eastAsiaTheme="minorEastAsia" w:cstheme="minorEastAsia"/>
          <w:color w:val="000000" w:themeColor="text1"/>
          <w:spacing w:val="-3"/>
          <w:sz w:val="24"/>
          <w:szCs w:val="24"/>
          <w:lang w:val="en-US"/>
          <w14:textFill>
            <w14:solidFill>
              <w14:schemeClr w14:val="tx1"/>
            </w14:solidFill>
          </w14:textFill>
        </w:rPr>
        <w:t xml:space="preserve"> 60 </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w:t>
      </w:r>
    </w:p>
    <w:p>
      <w:pPr>
        <w:pStyle w:val="17"/>
        <w:numPr>
          <w:ilvl w:val="0"/>
          <w:numId w:val="6"/>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交货方式： 按甲方指定地点</w:t>
      </w:r>
      <w:r>
        <w:rPr>
          <w:rFonts w:hint="eastAsia" w:asciiTheme="minorEastAsia" w:hAnsiTheme="minorEastAsia" w:eastAsiaTheme="minorEastAsia" w:cstheme="minorEastAsia"/>
          <w:color w:val="000000" w:themeColor="text1"/>
          <w:sz w:val="24"/>
          <w:szCs w:val="24"/>
          <w14:textFill>
            <w14:solidFill>
              <w14:schemeClr w14:val="tx1"/>
            </w14:solidFill>
          </w14:textFill>
        </w:rPr>
        <w:t>送货上门</w:t>
      </w:r>
    </w:p>
    <w:p>
      <w:pPr>
        <w:pStyle w:val="17"/>
        <w:numPr>
          <w:ilvl w:val="0"/>
          <w:numId w:val="6"/>
        </w:numPr>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 xml:space="preserve">交货地点： </w:t>
      </w:r>
      <w:r>
        <w:rPr>
          <w:rFonts w:hint="eastAsia" w:asciiTheme="minorEastAsia" w:hAnsiTheme="minorEastAsia" w:eastAsiaTheme="minorEastAsia" w:cstheme="minorEastAsia"/>
          <w:color w:val="000000" w:themeColor="text1"/>
          <w:sz w:val="24"/>
          <w:szCs w:val="24"/>
          <w14:textFill>
            <w14:solidFill>
              <w14:schemeClr w14:val="tx1"/>
            </w14:solidFill>
          </w14:textFill>
        </w:rPr>
        <w:t>浙江省温州市鹿城区南汇街道六虹桥路蛟尾路9号</w:t>
      </w:r>
    </w:p>
    <w:p>
      <w:pPr>
        <w:tabs>
          <w:tab w:val="left" w:pos="522"/>
        </w:tabs>
        <w:ind w:left="105" w:right="548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sz w:val="24"/>
          <w:szCs w:val="24"/>
          <w14:textFill>
            <w14:solidFill>
              <w14:schemeClr w14:val="tx1"/>
            </w14:solidFill>
          </w14:textFill>
        </w:rPr>
        <w:t>八、</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货款支付</w:t>
      </w: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甲方按以下第1种方式支付乙方合同价款。</w:t>
      </w:r>
    </w:p>
    <w:p>
      <w:pPr>
        <w:pStyle w:val="4"/>
        <w:spacing w:before="21"/>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1、一次性支付：</w:t>
      </w:r>
    </w:p>
    <w:p>
      <w:pPr>
        <w:pStyle w:val="4"/>
        <w:tabs>
          <w:tab w:val="left" w:pos="4877"/>
        </w:tabs>
        <w:spacing w:before="71"/>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本合同项下的全部货物安装调试完毕并经最终验收合格后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90</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个工作日内，甲方向乙方支付全部合同价款。</w:t>
      </w:r>
    </w:p>
    <w:p>
      <w:pPr>
        <w:pStyle w:val="4"/>
        <w:spacing w:before="69"/>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2、分期支付：</w:t>
      </w:r>
    </w:p>
    <w:p>
      <w:pPr>
        <w:pStyle w:val="17"/>
        <w:numPr>
          <w:ilvl w:val="0"/>
          <w:numId w:val="7"/>
        </w:numPr>
        <w:tabs>
          <w:tab w:val="left" w:pos="797"/>
          <w:tab w:val="left" w:pos="2800"/>
          <w:tab w:val="left" w:pos="5814"/>
          <w:tab w:val="left" w:pos="7603"/>
          <w:tab w:val="left" w:pos="8599"/>
        </w:tabs>
        <w:spacing w:before="69"/>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甲方应于本合同生效后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个工作日内向乙方支付合同总价款的</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%作为预付款，计¥</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元（大写</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w:t>
      </w:r>
    </w:p>
    <w:p>
      <w:pPr>
        <w:pStyle w:val="17"/>
        <w:numPr>
          <w:ilvl w:val="0"/>
          <w:numId w:val="7"/>
        </w:numPr>
        <w:tabs>
          <w:tab w:val="left" w:pos="797"/>
          <w:tab w:val="left" w:pos="2632"/>
          <w:tab w:val="left" w:pos="6150"/>
          <w:tab w:val="left" w:pos="7098"/>
          <w:tab w:val="left" w:pos="8095"/>
        </w:tabs>
        <w:spacing w:before="118"/>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全部货物验收合格后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个工作日内，甲方向乙方支付合同总价款的</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%，计¥</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元（大写</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w:t>
      </w:r>
    </w:p>
    <w:p>
      <w:pPr>
        <w:pStyle w:val="3"/>
        <w:spacing w:before="16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九、税费</w:t>
      </w:r>
    </w:p>
    <w:p>
      <w:pPr>
        <w:pStyle w:val="4"/>
        <w:spacing w:before="23"/>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本合同执行中相关的一切税费均由乙方负担。</w:t>
      </w:r>
    </w:p>
    <w:p>
      <w:pPr>
        <w:pStyle w:val="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十、质量保证及售后服务</w:t>
      </w:r>
    </w:p>
    <w:p>
      <w:pPr>
        <w:pStyle w:val="17"/>
        <w:numPr>
          <w:ilvl w:val="0"/>
          <w:numId w:val="8"/>
        </w:numPr>
        <w:tabs>
          <w:tab w:val="left" w:pos="522"/>
        </w:tabs>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乙方保证本合同中所供应的商品是最新生产的符合国家技术规格和质量标准的出厂原装的合格产品。如发生所供商品与合同不符，甲方（采购单位）有权拒收或退货，由此产生的一切责任和后果由乙方承担。</w:t>
      </w:r>
    </w:p>
    <w:p>
      <w:pPr>
        <w:pStyle w:val="17"/>
        <w:numPr>
          <w:ilvl w:val="0"/>
          <w:numId w:val="8"/>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7"/>
        <w:numPr>
          <w:ilvl w:val="0"/>
          <w:numId w:val="9"/>
        </w:numPr>
        <w:tabs>
          <w:tab w:val="left" w:pos="797"/>
        </w:tabs>
        <w:spacing w:before="0"/>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更换：由乙方承担所发生的全部费用。</w:t>
      </w:r>
    </w:p>
    <w:p>
      <w:pPr>
        <w:pStyle w:val="17"/>
        <w:numPr>
          <w:ilvl w:val="0"/>
          <w:numId w:val="9"/>
        </w:numPr>
        <w:tabs>
          <w:tab w:val="left" w:pos="797"/>
        </w:tabs>
        <w:spacing w:before="22"/>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贬值处理：由甲乙双方合议定价。</w:t>
      </w:r>
    </w:p>
    <w:p>
      <w:pPr>
        <w:pStyle w:val="17"/>
        <w:numPr>
          <w:ilvl w:val="0"/>
          <w:numId w:val="9"/>
        </w:numPr>
        <w:tabs>
          <w:tab w:val="left" w:pos="797"/>
        </w:tabs>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退货处理：乙方应退还甲方支付的合同款，同时应承担该货物的直接费用（运输、保险、检验、货款利息及银行手续费等）。</w:t>
      </w:r>
    </w:p>
    <w:p>
      <w:pPr>
        <w:pStyle w:val="17"/>
        <w:numPr>
          <w:ilvl w:val="0"/>
          <w:numId w:val="8"/>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在质保期内，乙方应对货物出现的质量及安全问题负责处理解决并承担一切费用。</w:t>
      </w:r>
    </w:p>
    <w:p>
      <w:pPr>
        <w:pStyle w:val="17"/>
        <w:numPr>
          <w:ilvl w:val="0"/>
          <w:numId w:val="8"/>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上述的货物在质保期内免费保修，因人为因素出现的故障不在免费保修范围内。超过保修期的机器设备，终生维修，维修时只收部件成本费。乙方应当在甲方通知维修后2日内到达货物所在地进行维修。</w:t>
      </w:r>
    </w:p>
    <w:p>
      <w:pPr>
        <w:pStyle w:val="3"/>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十一、调试和验收</w:t>
      </w:r>
    </w:p>
    <w:p>
      <w:pPr>
        <w:pStyle w:val="17"/>
        <w:numPr>
          <w:ilvl w:val="0"/>
          <w:numId w:val="10"/>
        </w:numPr>
        <w:tabs>
          <w:tab w:val="left" w:pos="522"/>
        </w:tabs>
        <w:spacing w:before="106"/>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甲方对乙方提交的货物依据招标文件上的技术规格要求和国家有关质量标准进行现场验收。货到后，甲方需在二十个工作日内验收（质量等隐蔽瑕疵除外）。</w:t>
      </w:r>
    </w:p>
    <w:p>
      <w:pPr>
        <w:pStyle w:val="17"/>
        <w:numPr>
          <w:ilvl w:val="0"/>
          <w:numId w:val="10"/>
        </w:numPr>
        <w:tabs>
          <w:tab w:val="left" w:pos="522"/>
        </w:tabs>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7"/>
        <w:numPr>
          <w:ilvl w:val="0"/>
          <w:numId w:val="10"/>
        </w:numPr>
        <w:tabs>
          <w:tab w:val="left" w:pos="522"/>
        </w:tabs>
        <w:spacing w:before="0"/>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甲方对乙方提供的货物在使用前进行调试时，乙方需负责安装并培训甲方的使用操作人员，并协助甲方一起调试，直到符合技术要求，    甲方才做最终验收。</w:t>
      </w:r>
    </w:p>
    <w:p>
      <w:pPr>
        <w:pStyle w:val="17"/>
        <w:numPr>
          <w:ilvl w:val="0"/>
          <w:numId w:val="10"/>
        </w:numPr>
        <w:tabs>
          <w:tab w:val="left" w:pos="522"/>
        </w:tabs>
        <w:spacing w:before="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对技术复杂的货物，甲方应请国家认可的专业检测机构参与验收，并由其出具质量检测报告。</w:t>
      </w:r>
    </w:p>
    <w:p>
      <w:pPr>
        <w:pStyle w:val="17"/>
        <w:numPr>
          <w:ilvl w:val="0"/>
          <w:numId w:val="10"/>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验收时乙方必须在现场，验收完毕后作出验收结果报告；验收费用由乙方负责。</w:t>
      </w:r>
    </w:p>
    <w:p>
      <w:pPr>
        <w:pStyle w:val="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十二、货物包装</w:t>
      </w:r>
    </w:p>
    <w:p>
      <w:pPr>
        <w:pStyle w:val="17"/>
        <w:numPr>
          <w:ilvl w:val="0"/>
          <w:numId w:val="11"/>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乙方应在货物发运前对其进行满足运输距离、防潮、防震、防锈和防破损装卸等要求包装，以保证货物安全运达甲方指定地点。</w:t>
      </w:r>
    </w:p>
    <w:p>
      <w:pPr>
        <w:pStyle w:val="17"/>
        <w:numPr>
          <w:ilvl w:val="0"/>
          <w:numId w:val="11"/>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使用说明书、质量检验证明书、随配附件和工具以及清单一并附于货物内。</w:t>
      </w:r>
    </w:p>
    <w:p>
      <w:pPr>
        <w:pStyle w:val="17"/>
        <w:tabs>
          <w:tab w:val="left" w:pos="522"/>
        </w:tabs>
        <w:ind w:left="0" w:right="4471" w:firstLine="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sz w:val="24"/>
          <w:szCs w:val="24"/>
          <w14:textFill>
            <w14:solidFill>
              <w14:schemeClr w14:val="tx1"/>
            </w14:solidFill>
          </w14:textFill>
        </w:rPr>
        <w:t>十三、违约责任</w:t>
      </w:r>
    </w:p>
    <w:p>
      <w:pPr>
        <w:pStyle w:val="17"/>
        <w:numPr>
          <w:ilvl w:val="0"/>
          <w:numId w:val="12"/>
        </w:numPr>
        <w:tabs>
          <w:tab w:val="left" w:pos="522"/>
        </w:tabs>
        <w:spacing w:before="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甲方无正当理由拒收货物的，甲方向乙方偿付拒收货款总值的</w:t>
      </w:r>
      <w:r>
        <w:rPr>
          <w:rFonts w:hint="eastAsia" w:asciiTheme="minorEastAsia" w:hAnsiTheme="minorEastAsia" w:eastAsiaTheme="minorEastAsia" w:cstheme="minorEastAsia"/>
          <w:color w:val="000000" w:themeColor="text1"/>
          <w:spacing w:val="3"/>
          <w:sz w:val="24"/>
          <w:szCs w:val="24"/>
          <w:u w:val="single" w:color="4068E0"/>
          <w14:textFill>
            <w14:solidFill>
              <w14:schemeClr w14:val="tx1"/>
            </w14:solidFill>
          </w14:textFill>
        </w:rPr>
        <w:t xml:space="preserve"> 百分之五</w:t>
      </w:r>
      <w:r>
        <w:rPr>
          <w:rFonts w:hint="eastAsia" w:asciiTheme="minorEastAsia" w:hAnsiTheme="minorEastAsia" w:eastAsiaTheme="minorEastAsia" w:cstheme="minorEastAsia"/>
          <w:color w:val="000000" w:themeColor="text1"/>
          <w:spacing w:val="45"/>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违约金。</w:t>
      </w:r>
    </w:p>
    <w:p>
      <w:pPr>
        <w:pStyle w:val="17"/>
        <w:numPr>
          <w:ilvl w:val="0"/>
          <w:numId w:val="12"/>
        </w:numPr>
        <w:tabs>
          <w:tab w:val="left" w:pos="522"/>
        </w:tabs>
        <w:spacing w:before="117"/>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甲方无故逾期验收和办理货款支付手续的,甲方应按逾期付款总额每日</w:t>
      </w:r>
      <w:r>
        <w:rPr>
          <w:rFonts w:hint="eastAsia" w:asciiTheme="minorEastAsia" w:hAnsiTheme="minorEastAsia" w:eastAsiaTheme="minorEastAsia" w:cstheme="minorEastAsia"/>
          <w:color w:val="000000" w:themeColor="text1"/>
          <w:spacing w:val="2"/>
          <w:sz w:val="24"/>
          <w:szCs w:val="24"/>
          <w:u w:val="single" w:color="4068E0"/>
          <w14:textFill>
            <w14:solidFill>
              <w14:schemeClr w14:val="tx1"/>
            </w14:solidFill>
          </w14:textFill>
        </w:rPr>
        <w:t xml:space="preserve"> 万分之五</w:t>
      </w:r>
      <w:r>
        <w:rPr>
          <w:rFonts w:hint="eastAsia" w:asciiTheme="minorEastAsia" w:hAnsiTheme="minorEastAsia" w:eastAsiaTheme="minorEastAsia" w:cstheme="minorEastAsia"/>
          <w:color w:val="000000" w:themeColor="text1"/>
          <w:spacing w:val="43"/>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向乙方支付违约金。</w:t>
      </w:r>
    </w:p>
    <w:p>
      <w:pPr>
        <w:pStyle w:val="17"/>
        <w:numPr>
          <w:ilvl w:val="0"/>
          <w:numId w:val="12"/>
        </w:numPr>
        <w:tabs>
          <w:tab w:val="left" w:pos="522"/>
        </w:tabs>
        <w:spacing w:before="118"/>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乙方逾期交付货物的，乙方应按逾期交货总额每日</w:t>
      </w:r>
      <w:r>
        <w:rPr>
          <w:rFonts w:hint="eastAsia" w:asciiTheme="minorEastAsia" w:hAnsiTheme="minorEastAsia" w:eastAsiaTheme="minorEastAsia" w:cstheme="minorEastAsia"/>
          <w:color w:val="000000" w:themeColor="text1"/>
          <w:spacing w:val="15"/>
          <w:sz w:val="24"/>
          <w:szCs w:val="24"/>
          <w:u w:val="single" w:color="4068E0"/>
          <w14:textFill>
            <w14:solidFill>
              <w14:schemeClr w14:val="tx1"/>
            </w14:solidFill>
          </w14:textFill>
        </w:rPr>
        <w:t xml:space="preserve"> 千分之六</w:t>
      </w:r>
      <w:r>
        <w:rPr>
          <w:rFonts w:hint="eastAsia" w:asciiTheme="minorEastAsia" w:hAnsiTheme="minorEastAsia" w:eastAsiaTheme="minorEastAsia" w:cstheme="minorEastAsia"/>
          <w:color w:val="000000" w:themeColor="text1"/>
          <w:spacing w:val="29"/>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向甲方支付违约金，由甲方从待付货款中扣除。逾期超过约定日期   10 个工作日不能交货的，甲方可解除本合同。乙方因逾期交货或因其他违约行为导致甲方解除合同的，乙方应向甲方支付合同总值</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5</w:t>
      </w:r>
      <w:r>
        <w:rPr>
          <w:rFonts w:hint="eastAsia" w:asciiTheme="minorEastAsia" w:hAnsiTheme="minorEastAsia" w:eastAsiaTheme="minorEastAsia" w:cstheme="minorEastAsia"/>
          <w:color w:val="000000" w:themeColor="text1"/>
          <w:sz w:val="24"/>
          <w:szCs w:val="24"/>
          <w14:textFill>
            <w14:solidFill>
              <w14:schemeClr w14:val="tx1"/>
            </w14:solidFill>
          </w14:textFill>
        </w:rPr>
        <w:t>%的违约金，如造成甲方损失超过违约金的，超出部分由乙方继续承担赔偿责任。</w:t>
      </w:r>
    </w:p>
    <w:p>
      <w:pPr>
        <w:pStyle w:val="17"/>
        <w:numPr>
          <w:ilvl w:val="0"/>
          <w:numId w:val="12"/>
        </w:num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3"/>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十四、不可抗力事件处理</w:t>
      </w:r>
    </w:p>
    <w:p>
      <w:pPr>
        <w:pStyle w:val="17"/>
        <w:numPr>
          <w:ilvl w:val="0"/>
          <w:numId w:val="13"/>
        </w:numPr>
        <w:tabs>
          <w:tab w:val="left" w:pos="522"/>
        </w:tabs>
        <w:spacing w:before="106"/>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在合同有效期内，任何一方因不可抗力事件导致不能履行合同，双方协商后，则合同履行期可延长，其延长期与不可抗力影响期相同。</w:t>
      </w:r>
    </w:p>
    <w:p>
      <w:pPr>
        <w:pStyle w:val="17"/>
        <w:numPr>
          <w:ilvl w:val="0"/>
          <w:numId w:val="13"/>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不可抗力事件发生后，应立即通知对方，并寄送有关权威机构出具的证明。</w:t>
      </w:r>
    </w:p>
    <w:p>
      <w:pPr>
        <w:pStyle w:val="17"/>
        <w:numPr>
          <w:ilvl w:val="0"/>
          <w:numId w:val="13"/>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 xml:space="preserve">不可抗力事件延续 </w:t>
      </w:r>
      <w:r>
        <w:rPr>
          <w:rFonts w:hint="eastAsia" w:asciiTheme="minorEastAsia" w:hAnsiTheme="minorEastAsia" w:eastAsiaTheme="minorEastAsia" w:cstheme="minorEastAsia"/>
          <w:color w:val="000000" w:themeColor="text1"/>
          <w:sz w:val="24"/>
          <w:szCs w:val="24"/>
          <w14:textFill>
            <w14:solidFill>
              <w14:schemeClr w14:val="tx1"/>
            </w14:solidFill>
          </w14:textFill>
        </w:rPr>
        <w:t>120天以上，双方可以通过友好协商，确定是否继续履行合同。</w:t>
      </w:r>
    </w:p>
    <w:p>
      <w:pPr>
        <w:pStyle w:val="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十五、诉讼</w:t>
      </w:r>
    </w:p>
    <w:p>
      <w:pPr>
        <w:pStyle w:val="4"/>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双方在执行合同中所发生的一切争议，应通过协商解决。如协商不成，可向甲方所在地法院起诉。</w:t>
      </w:r>
    </w:p>
    <w:p>
      <w:pPr>
        <w:pStyle w:val="3"/>
        <w:spacing w:before="1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十六、合同生效及其它</w:t>
      </w:r>
    </w:p>
    <w:p>
      <w:pPr>
        <w:pStyle w:val="17"/>
        <w:numPr>
          <w:ilvl w:val="0"/>
          <w:numId w:val="14"/>
        </w:numPr>
        <w:tabs>
          <w:tab w:val="left" w:pos="522"/>
        </w:tabs>
        <w:ind w:hanging="1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本合同经甲、乙双方签字并加盖单位公章后生效。</w:t>
      </w:r>
    </w:p>
    <w:p>
      <w:pPr>
        <w:pStyle w:val="17"/>
        <w:numPr>
          <w:ilvl w:val="0"/>
          <w:numId w:val="14"/>
        </w:numPr>
        <w:tabs>
          <w:tab w:val="left" w:pos="522"/>
        </w:tabs>
        <w:ind w:left="111" w:right="101" w:firstLine="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招标文件、投标文件、项目采购协议或入围承诺书与本合同具有同等法律效力。如前述各项文件之间约定不一致的，应以最新签署的文件内容为准。</w:t>
      </w:r>
    </w:p>
    <w:p>
      <w:pPr>
        <w:pStyle w:val="17"/>
        <w:numPr>
          <w:ilvl w:val="0"/>
          <w:numId w:val="14"/>
        </w:numPr>
        <w:tabs>
          <w:tab w:val="left" w:pos="522"/>
        </w:tabs>
        <w:spacing w:befor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本合同未尽事宜，以招投标文件为准。</w:t>
      </w:r>
    </w:p>
    <w:p>
      <w:pPr>
        <w:pStyle w:val="17"/>
        <w:numPr>
          <w:ilvl w:val="0"/>
          <w:numId w:val="1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本合同一式三份，甲方执二份，乙方执一份，具有同等法律效力。</w:t>
      </w:r>
    </w:p>
    <w:p>
      <w:pPr>
        <w:pStyle w:val="17"/>
        <w:numPr>
          <w:ilvl w:val="0"/>
          <w:numId w:val="1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附件设备配置清单系本合同不可分割的组成部分，与本合同具有同等法律效力。</w:t>
      </w: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 温州市中医院</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乙方（盖章）：  </w:t>
      </w:r>
    </w:p>
    <w:p>
      <w:pPr>
        <w:pStyle w:val="4"/>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地址：温州市六虹桥路蛟尾路9号                     地址：                                                                                           </w:t>
      </w:r>
    </w:p>
    <w:p>
      <w:pPr>
        <w:pStyle w:val="4"/>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法定（授权）代表人：                              法定（授权）代表人： </w:t>
      </w:r>
    </w:p>
    <w:p>
      <w:pPr>
        <w:pStyle w:val="4"/>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签字日期：    年    月    日                      签字日期：    年   月   日</w:t>
      </w:r>
    </w:p>
    <w:p>
      <w:pPr>
        <w:widowControl/>
        <w:jc w:val="left"/>
        <w:rPr>
          <w:rFonts w:hint="eastAsia" w:asciiTheme="minorEastAsia" w:hAnsiTheme="minorEastAsia" w:eastAsiaTheme="minorEastAsia" w:cstheme="minorEastAsia"/>
          <w:kern w:val="0"/>
          <w:sz w:val="24"/>
          <w:szCs w:val="24"/>
          <w:lang w:val="zh-CN" w:bidi="zh-CN"/>
        </w:rPr>
      </w:pPr>
      <w:r>
        <w:rPr>
          <w:rFonts w:hint="eastAsia" w:asciiTheme="minorEastAsia" w:hAnsiTheme="minorEastAsia" w:eastAsiaTheme="minorEastAsia" w:cstheme="minorEastAsia"/>
          <w:sz w:val="24"/>
          <w:szCs w:val="24"/>
        </w:rPr>
        <w:br w:type="page"/>
      </w:r>
    </w:p>
    <w:p>
      <w:pPr>
        <w:jc w:val="center"/>
        <w:rPr>
          <w:b/>
          <w:sz w:val="36"/>
          <w:szCs w:val="36"/>
        </w:rPr>
      </w:pPr>
      <w:r>
        <w:rPr>
          <w:rFonts w:hint="eastAsia"/>
          <w:b/>
          <w:sz w:val="36"/>
          <w:szCs w:val="36"/>
        </w:rPr>
        <w:t>设备配置清单</w:t>
      </w:r>
    </w:p>
    <w:p>
      <w:pPr>
        <w:pStyle w:val="4"/>
        <w:rPr>
          <w:sz w:val="20"/>
        </w:rPr>
      </w:pPr>
    </w:p>
    <w:tbl>
      <w:tblPr>
        <w:tblStyle w:val="9"/>
        <w:tblpPr w:leftFromText="180" w:rightFromText="180" w:vertAnchor="text" w:horzAnchor="margin" w:tblpXSpec="center" w:tblpY="357"/>
        <w:tblOverlap w:val="never"/>
        <w:tblW w:w="91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992"/>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4" w:type="dxa"/>
          </w:tcPr>
          <w:p>
            <w:pPr>
              <w:jc w:val="center"/>
              <w:rPr>
                <w:b/>
                <w:sz w:val="21"/>
                <w:szCs w:val="21"/>
              </w:rPr>
            </w:pPr>
            <w:r>
              <w:rPr>
                <w:rFonts w:hint="eastAsia"/>
                <w:b/>
                <w:sz w:val="21"/>
                <w:szCs w:val="21"/>
              </w:rPr>
              <w:t>序号</w:t>
            </w:r>
          </w:p>
        </w:tc>
        <w:tc>
          <w:tcPr>
            <w:tcW w:w="992" w:type="dxa"/>
            <w:vAlign w:val="center"/>
          </w:tcPr>
          <w:p>
            <w:pPr>
              <w:jc w:val="center"/>
              <w:rPr>
                <w:b/>
                <w:sz w:val="21"/>
                <w:szCs w:val="21"/>
              </w:rPr>
            </w:pPr>
            <w:r>
              <w:rPr>
                <w:rFonts w:hint="eastAsia"/>
                <w:b/>
                <w:sz w:val="21"/>
                <w:szCs w:val="21"/>
              </w:rPr>
              <w:t>品牌</w:t>
            </w:r>
          </w:p>
        </w:tc>
        <w:tc>
          <w:tcPr>
            <w:tcW w:w="2934" w:type="dxa"/>
            <w:vAlign w:val="center"/>
          </w:tcPr>
          <w:p>
            <w:pPr>
              <w:jc w:val="center"/>
              <w:rPr>
                <w:b/>
                <w:sz w:val="21"/>
                <w:szCs w:val="21"/>
              </w:rPr>
            </w:pPr>
            <w:r>
              <w:rPr>
                <w:rFonts w:hint="eastAsia"/>
                <w:b/>
                <w:sz w:val="21"/>
                <w:szCs w:val="21"/>
              </w:rPr>
              <w:t>产品名称</w:t>
            </w:r>
          </w:p>
        </w:tc>
        <w:tc>
          <w:tcPr>
            <w:tcW w:w="1815" w:type="dxa"/>
            <w:vAlign w:val="center"/>
          </w:tcPr>
          <w:p>
            <w:pPr>
              <w:jc w:val="center"/>
              <w:rPr>
                <w:b/>
                <w:sz w:val="21"/>
                <w:szCs w:val="21"/>
              </w:rPr>
            </w:pPr>
            <w:r>
              <w:rPr>
                <w:rFonts w:hint="eastAsia"/>
                <w:b/>
                <w:sz w:val="21"/>
                <w:szCs w:val="21"/>
              </w:rPr>
              <w:t>规格型号</w:t>
            </w:r>
          </w:p>
        </w:tc>
        <w:tc>
          <w:tcPr>
            <w:tcW w:w="705" w:type="dxa"/>
            <w:vAlign w:val="center"/>
          </w:tcPr>
          <w:p>
            <w:pPr>
              <w:jc w:val="center"/>
              <w:rPr>
                <w:b/>
                <w:sz w:val="21"/>
                <w:szCs w:val="21"/>
              </w:rPr>
            </w:pPr>
            <w:r>
              <w:rPr>
                <w:rFonts w:hint="eastAsia"/>
                <w:b/>
                <w:sz w:val="21"/>
                <w:szCs w:val="21"/>
              </w:rPr>
              <w:t>数量</w:t>
            </w:r>
          </w:p>
        </w:tc>
        <w:tc>
          <w:tcPr>
            <w:tcW w:w="1110" w:type="dxa"/>
            <w:vAlign w:val="center"/>
          </w:tcPr>
          <w:p>
            <w:pPr>
              <w:jc w:val="center"/>
              <w:rPr>
                <w:b/>
                <w:sz w:val="21"/>
                <w:szCs w:val="21"/>
              </w:rPr>
            </w:pPr>
            <w:r>
              <w:rPr>
                <w:rFonts w:hint="eastAsia"/>
                <w:b/>
                <w:sz w:val="21"/>
                <w:szCs w:val="21"/>
              </w:rPr>
              <w:t>金额（元）</w:t>
            </w:r>
          </w:p>
        </w:tc>
        <w:tc>
          <w:tcPr>
            <w:tcW w:w="930" w:type="dxa"/>
            <w:vAlign w:val="center"/>
          </w:tcPr>
          <w:p>
            <w:pPr>
              <w:jc w:val="center"/>
              <w:rPr>
                <w:b/>
                <w:sz w:val="21"/>
                <w:szCs w:val="21"/>
              </w:rPr>
            </w:pPr>
            <w:r>
              <w:rPr>
                <w:rFonts w:hint="eastAsia"/>
                <w:b/>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2</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3</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4</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5</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6</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7</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8</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9</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10</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11</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12</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13</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14</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bl>
    <w:p>
      <w:pPr>
        <w:pStyle w:val="4"/>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18"/>
          <w:szCs w:val="20"/>
        </w:rPr>
      </w:pPr>
      <w:r>
        <w:rPr>
          <w:rFonts w:ascii="Calibri" w:hAnsi="Calibri" w:eastAsia="宋体" w:cs="Times New Roman"/>
          <w:sz w:val="18"/>
          <w:szCs w:val="20"/>
        </w:rPr>
        <w:t>甲方</w:t>
      </w:r>
      <w:r>
        <w:rPr>
          <w:rFonts w:ascii="Calibri" w:hAnsi="Calibri" w:eastAsia="宋体" w:cs="Times New Roman"/>
          <w:bCs/>
          <w:sz w:val="18"/>
          <w:szCs w:val="20"/>
        </w:rPr>
        <w:t>：</w:t>
      </w:r>
      <w:r>
        <w:rPr>
          <w:rFonts w:hint="eastAsia" w:ascii="Calibri" w:hAnsi="Calibri" w:eastAsia="宋体" w:cs="Times New Roman"/>
          <w:bCs/>
          <w:sz w:val="18"/>
          <w:szCs w:val="20"/>
        </w:rPr>
        <w:t>温州市中医院</w:t>
      </w:r>
    </w:p>
    <w:p>
      <w:pPr>
        <w:spacing w:line="440" w:lineRule="exact"/>
        <w:rPr>
          <w:rFonts w:hint="eastAsia" w:ascii="Calibri" w:hAnsi="Calibri" w:eastAsia="宋体" w:cs="Times New Roman"/>
          <w:bCs/>
          <w:sz w:val="18"/>
          <w:szCs w:val="20"/>
        </w:rPr>
      </w:pPr>
      <w:r>
        <w:rPr>
          <w:rFonts w:ascii="Calibri" w:hAnsi="Calibri" w:eastAsia="宋体" w:cs="Times New Roman"/>
          <w:sz w:val="18"/>
          <w:szCs w:val="20"/>
        </w:rPr>
        <w:t>乙方</w:t>
      </w:r>
      <w:r>
        <w:rPr>
          <w:rFonts w:ascii="Calibri" w:hAnsi="Calibri" w:eastAsia="宋体" w:cs="Times New Roman"/>
          <w:bCs/>
          <w:sz w:val="18"/>
          <w:szCs w:val="20"/>
        </w:rPr>
        <w:t>：</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为进一步加强医疗卫生行风建设，规范医疗卫生机构</w:t>
      </w:r>
      <w:r>
        <w:rPr>
          <w:rFonts w:hint="eastAsia" w:ascii="Calibri" w:hAnsi="Calibri" w:eastAsia="宋体" w:cs="Times New Roman"/>
          <w:bCs/>
          <w:sz w:val="18"/>
          <w:szCs w:val="20"/>
        </w:rPr>
        <w:t>各类</w:t>
      </w:r>
      <w:r>
        <w:rPr>
          <w:rFonts w:ascii="Calibri" w:hAnsi="Calibri" w:eastAsia="宋体" w:cs="Times New Roman"/>
          <w:bCs/>
          <w:sz w:val="18"/>
          <w:szCs w:val="20"/>
        </w:rPr>
        <w:t>购销行为，有效防范商业贿赂行为，营造公平交易、诚实守信的</w:t>
      </w:r>
      <w:r>
        <w:rPr>
          <w:rFonts w:hint="eastAsia" w:ascii="Calibri" w:hAnsi="Calibri" w:eastAsia="宋体" w:cs="Times New Roman"/>
          <w:bCs/>
          <w:sz w:val="18"/>
          <w:szCs w:val="20"/>
        </w:rPr>
        <w:t>“清廉医院”</w:t>
      </w:r>
      <w:r>
        <w:rPr>
          <w:rFonts w:ascii="Calibri" w:hAnsi="Calibri" w:eastAsia="宋体" w:cs="Times New Roman"/>
          <w:bCs/>
          <w:sz w:val="18"/>
          <w:szCs w:val="20"/>
        </w:rPr>
        <w:t>购销环境，经甲、乙双方协商，同意签订本合同，并共同遵守：</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一、甲乙双方按照《</w:t>
      </w:r>
      <w:r>
        <w:rPr>
          <w:rFonts w:hint="eastAsia" w:ascii="Calibri" w:hAnsi="Calibri" w:eastAsia="宋体" w:cs="Times New Roman"/>
          <w:bCs/>
          <w:sz w:val="18"/>
          <w:szCs w:val="20"/>
        </w:rPr>
        <w:t>民法典</w:t>
      </w:r>
      <w:r>
        <w:rPr>
          <w:rFonts w:ascii="Calibri" w:hAnsi="Calibri" w:eastAsia="宋体" w:cs="Times New Roman"/>
          <w:bCs/>
          <w:sz w:val="18"/>
          <w:szCs w:val="20"/>
        </w:rPr>
        <w:t>》</w:t>
      </w:r>
      <w:r>
        <w:rPr>
          <w:rFonts w:hint="eastAsia" w:ascii="Calibri" w:hAnsi="Calibri" w:eastAsia="宋体" w:cs="Times New Roman"/>
          <w:bCs/>
          <w:sz w:val="18"/>
          <w:szCs w:val="20"/>
        </w:rPr>
        <w:t>等相关法规要求，约定</w:t>
      </w:r>
      <w:r>
        <w:rPr>
          <w:rFonts w:ascii="Calibri" w:hAnsi="Calibri" w:eastAsia="宋体" w:cs="Times New Roman"/>
          <w:bCs/>
          <w:sz w:val="18"/>
          <w:szCs w:val="20"/>
        </w:rPr>
        <w:t>购销</w:t>
      </w:r>
      <w:r>
        <w:rPr>
          <w:rFonts w:hint="eastAsia" w:ascii="Calibri" w:hAnsi="Calibri" w:eastAsia="宋体" w:cs="Times New Roman"/>
          <w:bCs/>
          <w:sz w:val="18"/>
          <w:szCs w:val="20"/>
        </w:rPr>
        <w:t>包括但不限于</w:t>
      </w:r>
      <w:r>
        <w:rPr>
          <w:rFonts w:ascii="Calibri" w:hAnsi="Calibri" w:eastAsia="宋体" w:cs="Times New Roman"/>
          <w:bCs/>
          <w:sz w:val="18"/>
          <w:szCs w:val="20"/>
        </w:rPr>
        <w:t>药品、设备、耗材</w:t>
      </w:r>
      <w:r>
        <w:rPr>
          <w:rFonts w:hint="eastAsia" w:ascii="Calibri" w:hAnsi="Calibri" w:eastAsia="宋体" w:cs="Times New Roman"/>
          <w:bCs/>
          <w:sz w:val="18"/>
          <w:szCs w:val="20"/>
        </w:rPr>
        <w:t>、维保</w:t>
      </w:r>
      <w:r>
        <w:rPr>
          <w:rFonts w:ascii="Calibri" w:hAnsi="Calibri" w:eastAsia="宋体" w:cs="Times New Roman"/>
          <w:bCs/>
          <w:sz w:val="18"/>
          <w:szCs w:val="20"/>
        </w:rPr>
        <w:t>等</w:t>
      </w:r>
      <w:r>
        <w:rPr>
          <w:rFonts w:hint="eastAsia" w:ascii="Calibri" w:hAnsi="Calibri" w:eastAsia="宋体" w:cs="Times New Roman"/>
          <w:bCs/>
          <w:sz w:val="18"/>
          <w:szCs w:val="20"/>
        </w:rPr>
        <w:t>货物或服务</w:t>
      </w:r>
      <w:r>
        <w:rPr>
          <w:rFonts w:ascii="Calibri" w:hAnsi="Calibri" w:eastAsia="宋体" w:cs="Times New Roman"/>
          <w:bCs/>
          <w:sz w:val="18"/>
          <w:szCs w:val="20"/>
        </w:rPr>
        <w:t>。</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二、甲方应当严格执行合同验收、入库制度，对采购产品及发票进行查验，不得违反有关规定合同外采购、违价采购或从非规定渠道采购。</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四、严禁甲方工作人员利用任何途径和方式，为乙方统计医师个人及临床科室有关医药产品用量信息，或为乙方统计提供便利。</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五、乙方不得以回扣、宴请等方式影响甲方工作人员采购</w:t>
      </w:r>
      <w:r>
        <w:rPr>
          <w:rFonts w:hint="eastAsia" w:ascii="Calibri" w:hAnsi="Calibri" w:eastAsia="宋体" w:cs="Times New Roman"/>
          <w:bCs/>
          <w:sz w:val="18"/>
          <w:szCs w:val="20"/>
        </w:rPr>
        <w:t>或使用</w:t>
      </w:r>
      <w:r>
        <w:rPr>
          <w:rFonts w:ascii="Calibri" w:hAnsi="Calibri" w:eastAsia="宋体" w:cs="Times New Roman"/>
          <w:bCs/>
          <w:sz w:val="18"/>
          <w:szCs w:val="20"/>
        </w:rPr>
        <w:t>产品的选择权，不得在学术活动中提供旅游、超标准支付食宿费用。</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六、乙方指定</w:t>
      </w:r>
      <w:r>
        <w:rPr>
          <w:rFonts w:ascii="Calibri" w:hAnsi="Calibri" w:eastAsia="宋体" w:cs="Times New Roman"/>
          <w:bCs/>
          <w:sz w:val="18"/>
          <w:szCs w:val="20"/>
          <w:u w:val="single"/>
        </w:rPr>
        <w:t xml:space="preserve">                        </w:t>
      </w:r>
      <w:r>
        <w:rPr>
          <w:rFonts w:ascii="Calibri" w:hAnsi="Calibri" w:eastAsia="宋体" w:cs="Times New Roman"/>
          <w:bCs/>
          <w:sz w:val="18"/>
          <w:szCs w:val="20"/>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18"/>
          <w:szCs w:val="20"/>
          <w:shd w:val="clear" w:color="auto" w:fill="FFFFFF"/>
        </w:rPr>
        <w:t>（国卫法制发〔2013〕50号）</w:t>
      </w:r>
      <w:r>
        <w:rPr>
          <w:rFonts w:hint="eastAsia" w:ascii="Calibri" w:hAnsi="Calibri" w:eastAsia="宋体" w:cs="Times New Roman"/>
          <w:bCs/>
          <w:sz w:val="18"/>
          <w:szCs w:val="20"/>
          <w:shd w:val="clear" w:color="auto" w:fill="FFFFFF"/>
        </w:rPr>
        <w:t>及《关于印发医疗机构工作人员廉洁从业九项准则的通知》（国卫医发〔2021〕37号）</w:t>
      </w:r>
      <w:r>
        <w:rPr>
          <w:rFonts w:ascii="Calibri" w:hAnsi="Calibri" w:eastAsia="宋体" w:cs="Times New Roman"/>
          <w:bCs/>
          <w:sz w:val="18"/>
          <w:szCs w:val="20"/>
        </w:rPr>
        <w:t>相关规定处理。</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八、本合同作为购销合同的重要组成部分，与购销合同一并执行，具有同等的法律效力。</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九、本合同一式三份，甲、乙双方各执一份，甲方纪检监察部门执一份，并从签订之日起生效。</w:t>
      </w:r>
    </w:p>
    <w:p>
      <w:pPr>
        <w:spacing w:line="440" w:lineRule="exact"/>
        <w:rPr>
          <w:rFonts w:ascii="Calibri" w:hAnsi="Calibri" w:eastAsia="宋体" w:cs="Times New Roman"/>
          <w:bCs/>
          <w:sz w:val="18"/>
          <w:szCs w:val="20"/>
        </w:rPr>
      </w:pP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甲方（盖章）：                     </w:t>
      </w:r>
      <w:r>
        <w:rPr>
          <w:rFonts w:hint="eastAsia" w:ascii="Calibri" w:hAnsi="Calibri" w:eastAsia="宋体" w:cs="Times New Roman"/>
          <w:bCs/>
          <w:sz w:val="18"/>
          <w:szCs w:val="20"/>
        </w:rPr>
        <w:t xml:space="preserve">       </w:t>
      </w:r>
      <w:r>
        <w:rPr>
          <w:rFonts w:ascii="Calibri" w:hAnsi="Calibri" w:eastAsia="宋体" w:cs="Times New Roman"/>
          <w:bCs/>
          <w:sz w:val="18"/>
          <w:szCs w:val="20"/>
        </w:rPr>
        <w:t>乙方（盖章）：</w:t>
      </w: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法定代表人（负责人）：             </w:t>
      </w:r>
      <w:r>
        <w:rPr>
          <w:rFonts w:hint="eastAsia" w:ascii="Calibri" w:hAnsi="Calibri" w:eastAsia="宋体" w:cs="Times New Roman"/>
          <w:bCs/>
          <w:sz w:val="18"/>
          <w:szCs w:val="20"/>
        </w:rPr>
        <w:t xml:space="preserve">       </w:t>
      </w:r>
      <w:r>
        <w:rPr>
          <w:rFonts w:ascii="Calibri" w:hAnsi="Calibri" w:eastAsia="宋体" w:cs="Times New Roman"/>
          <w:bCs/>
          <w:sz w:val="18"/>
          <w:szCs w:val="20"/>
        </w:rPr>
        <w:t>法定代表人（负责人）：</w:t>
      </w: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经办人签名：                     </w:t>
      </w:r>
      <w:r>
        <w:rPr>
          <w:rFonts w:hint="eastAsia" w:ascii="Calibri" w:hAnsi="Calibri" w:eastAsia="宋体" w:cs="Times New Roman"/>
          <w:bCs/>
          <w:sz w:val="18"/>
          <w:szCs w:val="20"/>
        </w:rPr>
        <w:t xml:space="preserve">       </w:t>
      </w:r>
      <w:r>
        <w:rPr>
          <w:rFonts w:ascii="Calibri" w:hAnsi="Calibri" w:eastAsia="宋体" w:cs="Times New Roman"/>
          <w:bCs/>
          <w:sz w:val="18"/>
          <w:szCs w:val="20"/>
        </w:rPr>
        <w:t xml:space="preserve"> 经办人签名：</w:t>
      </w:r>
    </w:p>
    <w:p>
      <w:pPr>
        <w:spacing w:line="440" w:lineRule="exact"/>
        <w:ind w:firstLine="450" w:firstLineChars="250"/>
        <w:rPr>
          <w:rFonts w:ascii="Calibri" w:hAnsi="Calibri" w:eastAsia="宋体" w:cs="Times New Roman"/>
          <w:sz w:val="18"/>
          <w:szCs w:val="24"/>
        </w:rPr>
      </w:pPr>
      <w:r>
        <w:rPr>
          <w:rFonts w:ascii="Calibri" w:hAnsi="Calibri" w:eastAsia="宋体" w:cs="Times New Roman"/>
          <w:bCs/>
          <w:sz w:val="18"/>
          <w:szCs w:val="20"/>
        </w:rPr>
        <w:t xml:space="preserve">年   月   日                      </w:t>
      </w:r>
      <w:r>
        <w:rPr>
          <w:rFonts w:hint="eastAsia" w:ascii="Calibri" w:hAnsi="Calibri" w:eastAsia="宋体" w:cs="Times New Roman"/>
          <w:bCs/>
          <w:sz w:val="18"/>
          <w:szCs w:val="20"/>
        </w:rPr>
        <w:t xml:space="preserve">       </w:t>
      </w:r>
      <w:r>
        <w:rPr>
          <w:rFonts w:ascii="Calibri" w:hAnsi="Calibri" w:eastAsia="宋体" w:cs="Times New Roman"/>
          <w:bCs/>
          <w:sz w:val="18"/>
          <w:szCs w:val="20"/>
        </w:rPr>
        <w:t xml:space="preserve"> 年   月  日</w:t>
      </w: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796" w:hanging="446"/>
      </w:pPr>
      <w:rPr>
        <w:rFonts w:hint="default" w:ascii="宋体" w:hAnsi="宋体" w:eastAsia="宋体" w:cs="宋体"/>
        <w:spacing w:val="-13"/>
        <w:w w:val="98"/>
        <w:sz w:val="15"/>
        <w:szCs w:val="15"/>
        <w:lang w:val="zh-CN" w:eastAsia="zh-CN" w:bidi="zh-CN"/>
      </w:rPr>
    </w:lvl>
    <w:lvl w:ilvl="1" w:tentative="0">
      <w:start w:val="0"/>
      <w:numFmt w:val="bullet"/>
      <w:lvlText w:val="•"/>
      <w:lvlJc w:val="left"/>
      <w:pPr>
        <w:ind w:left="1774" w:hanging="446"/>
      </w:pPr>
      <w:rPr>
        <w:rFonts w:hint="default"/>
        <w:lang w:val="zh-CN" w:eastAsia="zh-CN" w:bidi="zh-CN"/>
      </w:rPr>
    </w:lvl>
    <w:lvl w:ilvl="2" w:tentative="0">
      <w:start w:val="0"/>
      <w:numFmt w:val="bullet"/>
      <w:lvlText w:val="•"/>
      <w:lvlJc w:val="left"/>
      <w:pPr>
        <w:ind w:left="2748" w:hanging="446"/>
      </w:pPr>
      <w:rPr>
        <w:rFonts w:hint="default"/>
        <w:lang w:val="zh-CN" w:eastAsia="zh-CN" w:bidi="zh-CN"/>
      </w:rPr>
    </w:lvl>
    <w:lvl w:ilvl="3" w:tentative="0">
      <w:start w:val="0"/>
      <w:numFmt w:val="bullet"/>
      <w:lvlText w:val="•"/>
      <w:lvlJc w:val="left"/>
      <w:pPr>
        <w:ind w:left="3722" w:hanging="446"/>
      </w:pPr>
      <w:rPr>
        <w:rFonts w:hint="default"/>
        <w:lang w:val="zh-CN" w:eastAsia="zh-CN" w:bidi="zh-CN"/>
      </w:rPr>
    </w:lvl>
    <w:lvl w:ilvl="4" w:tentative="0">
      <w:start w:val="0"/>
      <w:numFmt w:val="bullet"/>
      <w:lvlText w:val="•"/>
      <w:lvlJc w:val="left"/>
      <w:pPr>
        <w:ind w:left="4696" w:hanging="446"/>
      </w:pPr>
      <w:rPr>
        <w:rFonts w:hint="default"/>
        <w:lang w:val="zh-CN" w:eastAsia="zh-CN" w:bidi="zh-CN"/>
      </w:rPr>
    </w:lvl>
    <w:lvl w:ilvl="5" w:tentative="0">
      <w:start w:val="0"/>
      <w:numFmt w:val="bullet"/>
      <w:lvlText w:val="•"/>
      <w:lvlJc w:val="left"/>
      <w:pPr>
        <w:ind w:left="5670" w:hanging="446"/>
      </w:pPr>
      <w:rPr>
        <w:rFonts w:hint="default"/>
        <w:lang w:val="zh-CN" w:eastAsia="zh-CN" w:bidi="zh-CN"/>
      </w:rPr>
    </w:lvl>
    <w:lvl w:ilvl="6" w:tentative="0">
      <w:start w:val="0"/>
      <w:numFmt w:val="bullet"/>
      <w:lvlText w:val="•"/>
      <w:lvlJc w:val="left"/>
      <w:pPr>
        <w:ind w:left="6644" w:hanging="446"/>
      </w:pPr>
      <w:rPr>
        <w:rFonts w:hint="default"/>
        <w:lang w:val="zh-CN" w:eastAsia="zh-CN" w:bidi="zh-CN"/>
      </w:rPr>
    </w:lvl>
    <w:lvl w:ilvl="7" w:tentative="0">
      <w:start w:val="0"/>
      <w:numFmt w:val="bullet"/>
      <w:lvlText w:val="•"/>
      <w:lvlJc w:val="left"/>
      <w:pPr>
        <w:ind w:left="7618" w:hanging="446"/>
      </w:pPr>
      <w:rPr>
        <w:rFonts w:hint="default"/>
        <w:lang w:val="zh-CN" w:eastAsia="zh-CN" w:bidi="zh-CN"/>
      </w:rPr>
    </w:lvl>
    <w:lvl w:ilvl="8" w:tentative="0">
      <w:start w:val="0"/>
      <w:numFmt w:val="bullet"/>
      <w:lvlText w:val="•"/>
      <w:lvlJc w:val="left"/>
      <w:pPr>
        <w:ind w:left="8592" w:hanging="446"/>
      </w:pPr>
      <w:rPr>
        <w:rFonts w:hint="default"/>
        <w:lang w:val="zh-CN" w:eastAsia="zh-CN" w:bidi="zh-CN"/>
      </w:rPr>
    </w:lvl>
  </w:abstractNum>
  <w:abstractNum w:abstractNumId="3">
    <w:nsid w:val="CF092B84"/>
    <w:multiLevelType w:val="multilevel"/>
    <w:tmpl w:val="CF092B84"/>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4">
    <w:nsid w:val="0053208E"/>
    <w:multiLevelType w:val="multilevel"/>
    <w:tmpl w:val="0053208E"/>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5">
    <w:nsid w:val="0248C179"/>
    <w:multiLevelType w:val="multilevel"/>
    <w:tmpl w:val="0248C179"/>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6">
    <w:nsid w:val="03D62ECE"/>
    <w:multiLevelType w:val="multilevel"/>
    <w:tmpl w:val="03D62ECE"/>
    <w:lvl w:ilvl="0" w:tentative="0">
      <w:start w:val="1"/>
      <w:numFmt w:val="decimal"/>
      <w:lvlText w:val="（%1）"/>
      <w:lvlJc w:val="left"/>
      <w:pPr>
        <w:ind w:left="796" w:hanging="446"/>
      </w:pPr>
      <w:rPr>
        <w:rFonts w:hint="default" w:ascii="宋体" w:hAnsi="宋体" w:eastAsia="宋体" w:cs="宋体"/>
        <w:w w:val="98"/>
        <w:sz w:val="15"/>
        <w:szCs w:val="15"/>
        <w:lang w:val="zh-CN" w:eastAsia="zh-CN" w:bidi="zh-CN"/>
      </w:rPr>
    </w:lvl>
    <w:lvl w:ilvl="1" w:tentative="0">
      <w:start w:val="0"/>
      <w:numFmt w:val="bullet"/>
      <w:lvlText w:val="•"/>
      <w:lvlJc w:val="left"/>
      <w:pPr>
        <w:ind w:left="1774" w:hanging="446"/>
      </w:pPr>
      <w:rPr>
        <w:rFonts w:hint="default"/>
        <w:lang w:val="zh-CN" w:eastAsia="zh-CN" w:bidi="zh-CN"/>
      </w:rPr>
    </w:lvl>
    <w:lvl w:ilvl="2" w:tentative="0">
      <w:start w:val="0"/>
      <w:numFmt w:val="bullet"/>
      <w:lvlText w:val="•"/>
      <w:lvlJc w:val="left"/>
      <w:pPr>
        <w:ind w:left="2748" w:hanging="446"/>
      </w:pPr>
      <w:rPr>
        <w:rFonts w:hint="default"/>
        <w:lang w:val="zh-CN" w:eastAsia="zh-CN" w:bidi="zh-CN"/>
      </w:rPr>
    </w:lvl>
    <w:lvl w:ilvl="3" w:tentative="0">
      <w:start w:val="0"/>
      <w:numFmt w:val="bullet"/>
      <w:lvlText w:val="•"/>
      <w:lvlJc w:val="left"/>
      <w:pPr>
        <w:ind w:left="3722" w:hanging="446"/>
      </w:pPr>
      <w:rPr>
        <w:rFonts w:hint="default"/>
        <w:lang w:val="zh-CN" w:eastAsia="zh-CN" w:bidi="zh-CN"/>
      </w:rPr>
    </w:lvl>
    <w:lvl w:ilvl="4" w:tentative="0">
      <w:start w:val="0"/>
      <w:numFmt w:val="bullet"/>
      <w:lvlText w:val="•"/>
      <w:lvlJc w:val="left"/>
      <w:pPr>
        <w:ind w:left="4696" w:hanging="446"/>
      </w:pPr>
      <w:rPr>
        <w:rFonts w:hint="default"/>
        <w:lang w:val="zh-CN" w:eastAsia="zh-CN" w:bidi="zh-CN"/>
      </w:rPr>
    </w:lvl>
    <w:lvl w:ilvl="5" w:tentative="0">
      <w:start w:val="0"/>
      <w:numFmt w:val="bullet"/>
      <w:lvlText w:val="•"/>
      <w:lvlJc w:val="left"/>
      <w:pPr>
        <w:ind w:left="5670" w:hanging="446"/>
      </w:pPr>
      <w:rPr>
        <w:rFonts w:hint="default"/>
        <w:lang w:val="zh-CN" w:eastAsia="zh-CN" w:bidi="zh-CN"/>
      </w:rPr>
    </w:lvl>
    <w:lvl w:ilvl="6" w:tentative="0">
      <w:start w:val="0"/>
      <w:numFmt w:val="bullet"/>
      <w:lvlText w:val="•"/>
      <w:lvlJc w:val="left"/>
      <w:pPr>
        <w:ind w:left="6644" w:hanging="446"/>
      </w:pPr>
      <w:rPr>
        <w:rFonts w:hint="default"/>
        <w:lang w:val="zh-CN" w:eastAsia="zh-CN" w:bidi="zh-CN"/>
      </w:rPr>
    </w:lvl>
    <w:lvl w:ilvl="7" w:tentative="0">
      <w:start w:val="0"/>
      <w:numFmt w:val="bullet"/>
      <w:lvlText w:val="•"/>
      <w:lvlJc w:val="left"/>
      <w:pPr>
        <w:ind w:left="7618" w:hanging="446"/>
      </w:pPr>
      <w:rPr>
        <w:rFonts w:hint="default"/>
        <w:lang w:val="zh-CN" w:eastAsia="zh-CN" w:bidi="zh-CN"/>
      </w:rPr>
    </w:lvl>
    <w:lvl w:ilvl="8" w:tentative="0">
      <w:start w:val="0"/>
      <w:numFmt w:val="bullet"/>
      <w:lvlText w:val="•"/>
      <w:lvlJc w:val="left"/>
      <w:pPr>
        <w:ind w:left="8592" w:hanging="446"/>
      </w:pPr>
      <w:rPr>
        <w:rFonts w:hint="default"/>
        <w:lang w:val="zh-CN" w:eastAsia="zh-CN" w:bidi="zh-CN"/>
      </w:rPr>
    </w:lvl>
  </w:abstractNum>
  <w:abstractNum w:abstractNumId="7">
    <w:nsid w:val="0EF21C84"/>
    <w:multiLevelType w:val="multilevel"/>
    <w:tmpl w:val="0EF21C84"/>
    <w:lvl w:ilvl="0" w:tentative="0">
      <w:start w:val="1"/>
      <w:numFmt w:val="japaneseCounting"/>
      <w:lvlText w:val="%1、"/>
      <w:lvlJc w:val="left"/>
      <w:pPr>
        <w:ind w:left="525" w:hanging="4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8">
    <w:nsid w:val="11BBAE1D"/>
    <w:multiLevelType w:val="singleLevel"/>
    <w:tmpl w:val="11BBAE1D"/>
    <w:lvl w:ilvl="0" w:tentative="0">
      <w:start w:val="1"/>
      <w:numFmt w:val="chineseCounting"/>
      <w:suff w:val="nothing"/>
      <w:lvlText w:val="%1、"/>
      <w:lvlJc w:val="left"/>
      <w:rPr>
        <w:rFonts w:hint="eastAsia"/>
      </w:rPr>
    </w:lvl>
  </w:abstractNum>
  <w:abstractNum w:abstractNumId="9">
    <w:nsid w:val="1CFCF95C"/>
    <w:multiLevelType w:val="singleLevel"/>
    <w:tmpl w:val="1CFCF95C"/>
    <w:lvl w:ilvl="0" w:tentative="0">
      <w:start w:val="3"/>
      <w:numFmt w:val="decimal"/>
      <w:suff w:val="nothing"/>
      <w:lvlText w:val="%1、"/>
      <w:lvlJc w:val="left"/>
    </w:lvl>
  </w:abstractNum>
  <w:abstractNum w:abstractNumId="10">
    <w:nsid w:val="25B654F3"/>
    <w:multiLevelType w:val="multilevel"/>
    <w:tmpl w:val="25B654F3"/>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1">
    <w:nsid w:val="2A8F537B"/>
    <w:multiLevelType w:val="multilevel"/>
    <w:tmpl w:val="2A8F537B"/>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2">
    <w:nsid w:val="59ADCABA"/>
    <w:multiLevelType w:val="multilevel"/>
    <w:tmpl w:val="59ADCABA"/>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3">
    <w:nsid w:val="72183CF9"/>
    <w:multiLevelType w:val="multilevel"/>
    <w:tmpl w:val="72183CF9"/>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num w:numId="1">
    <w:abstractNumId w:val="8"/>
  </w:num>
  <w:num w:numId="2">
    <w:abstractNumId w:val="9"/>
  </w:num>
  <w:num w:numId="3">
    <w:abstractNumId w:val="7"/>
  </w:num>
  <w:num w:numId="4">
    <w:abstractNumId w:val="4"/>
  </w:num>
  <w:num w:numId="5">
    <w:abstractNumId w:val="3"/>
  </w:num>
  <w:num w:numId="6">
    <w:abstractNumId w:val="12"/>
  </w:num>
  <w:num w:numId="7">
    <w:abstractNumId w:val="2"/>
  </w:num>
  <w:num w:numId="8">
    <w:abstractNumId w:val="1"/>
  </w:num>
  <w:num w:numId="9">
    <w:abstractNumId w:val="6"/>
  </w:num>
  <w:num w:numId="10">
    <w:abstractNumId w:val="10"/>
  </w:num>
  <w:num w:numId="11">
    <w:abstractNumId w:val="13"/>
  </w:num>
  <w:num w:numId="12">
    <w:abstractNumId w:val="5"/>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YmEzZGY3MGIwZjJlYjU1NGZmNjkzOGZlODM4ZDk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65BAD"/>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C2F54"/>
    <w:rsid w:val="00DD12A9"/>
    <w:rsid w:val="00DE7ADB"/>
    <w:rsid w:val="00E51899"/>
    <w:rsid w:val="00EF7182"/>
    <w:rsid w:val="00F01072"/>
    <w:rsid w:val="00F26748"/>
    <w:rsid w:val="02757B7D"/>
    <w:rsid w:val="02B15ED7"/>
    <w:rsid w:val="032B7EBE"/>
    <w:rsid w:val="037819C8"/>
    <w:rsid w:val="04165086"/>
    <w:rsid w:val="04BC738C"/>
    <w:rsid w:val="06BF4ECA"/>
    <w:rsid w:val="079468F0"/>
    <w:rsid w:val="0A277157"/>
    <w:rsid w:val="0A323667"/>
    <w:rsid w:val="0B691EBF"/>
    <w:rsid w:val="0B9B4146"/>
    <w:rsid w:val="0D6B27A0"/>
    <w:rsid w:val="0D737863"/>
    <w:rsid w:val="0F2416D7"/>
    <w:rsid w:val="10827943"/>
    <w:rsid w:val="113D1317"/>
    <w:rsid w:val="11D15B1C"/>
    <w:rsid w:val="11D56F8A"/>
    <w:rsid w:val="129A029D"/>
    <w:rsid w:val="12C9410A"/>
    <w:rsid w:val="146D1EE3"/>
    <w:rsid w:val="14C02644"/>
    <w:rsid w:val="157B401A"/>
    <w:rsid w:val="165B3C1A"/>
    <w:rsid w:val="17453125"/>
    <w:rsid w:val="184F31D7"/>
    <w:rsid w:val="18CC2819"/>
    <w:rsid w:val="1A2E6DE6"/>
    <w:rsid w:val="1CE31DCB"/>
    <w:rsid w:val="1D4821A9"/>
    <w:rsid w:val="1D4E0F3D"/>
    <w:rsid w:val="1DEF5EF1"/>
    <w:rsid w:val="202B56B1"/>
    <w:rsid w:val="22723315"/>
    <w:rsid w:val="22CF7097"/>
    <w:rsid w:val="230A4103"/>
    <w:rsid w:val="232E51F6"/>
    <w:rsid w:val="23884864"/>
    <w:rsid w:val="27082DFB"/>
    <w:rsid w:val="27E45486"/>
    <w:rsid w:val="27EA63FC"/>
    <w:rsid w:val="2B057E38"/>
    <w:rsid w:val="2BA52826"/>
    <w:rsid w:val="2D7F5632"/>
    <w:rsid w:val="2EB05F76"/>
    <w:rsid w:val="2FBD42B3"/>
    <w:rsid w:val="2FDE2780"/>
    <w:rsid w:val="3005551A"/>
    <w:rsid w:val="30D412A1"/>
    <w:rsid w:val="30E84F1F"/>
    <w:rsid w:val="316641F0"/>
    <w:rsid w:val="31F8416E"/>
    <w:rsid w:val="32CE7A3F"/>
    <w:rsid w:val="32F87A34"/>
    <w:rsid w:val="33951D5C"/>
    <w:rsid w:val="34117E05"/>
    <w:rsid w:val="351B0D6F"/>
    <w:rsid w:val="35633FD8"/>
    <w:rsid w:val="365B4E52"/>
    <w:rsid w:val="37C66C9B"/>
    <w:rsid w:val="391D40AF"/>
    <w:rsid w:val="3BB420F5"/>
    <w:rsid w:val="3DB75172"/>
    <w:rsid w:val="3F1B3C4A"/>
    <w:rsid w:val="402E62DF"/>
    <w:rsid w:val="402F4957"/>
    <w:rsid w:val="405108FA"/>
    <w:rsid w:val="4136403A"/>
    <w:rsid w:val="41EF774F"/>
    <w:rsid w:val="42660058"/>
    <w:rsid w:val="42F001B6"/>
    <w:rsid w:val="43824C1A"/>
    <w:rsid w:val="449C5243"/>
    <w:rsid w:val="449E2D2B"/>
    <w:rsid w:val="46094A05"/>
    <w:rsid w:val="460A3EB2"/>
    <w:rsid w:val="477517FF"/>
    <w:rsid w:val="479F5F87"/>
    <w:rsid w:val="497E50E4"/>
    <w:rsid w:val="49DD5888"/>
    <w:rsid w:val="4A254910"/>
    <w:rsid w:val="4B956476"/>
    <w:rsid w:val="4CB07F6D"/>
    <w:rsid w:val="4D3D3121"/>
    <w:rsid w:val="4DCB17F7"/>
    <w:rsid w:val="4DE87B3D"/>
    <w:rsid w:val="4E9816A0"/>
    <w:rsid w:val="50F56948"/>
    <w:rsid w:val="532E4E4F"/>
    <w:rsid w:val="53423D16"/>
    <w:rsid w:val="534B0A6F"/>
    <w:rsid w:val="539D45B7"/>
    <w:rsid w:val="53CA557A"/>
    <w:rsid w:val="541C3522"/>
    <w:rsid w:val="545A32FC"/>
    <w:rsid w:val="547D6E0D"/>
    <w:rsid w:val="58271B3B"/>
    <w:rsid w:val="584110E8"/>
    <w:rsid w:val="587C329C"/>
    <w:rsid w:val="595B205E"/>
    <w:rsid w:val="5A4777C5"/>
    <w:rsid w:val="5A6E001E"/>
    <w:rsid w:val="5DEC7787"/>
    <w:rsid w:val="5DFE7766"/>
    <w:rsid w:val="60F93F09"/>
    <w:rsid w:val="619E2B99"/>
    <w:rsid w:val="62821FF2"/>
    <w:rsid w:val="63BC0FCC"/>
    <w:rsid w:val="652105FA"/>
    <w:rsid w:val="65BC6B1C"/>
    <w:rsid w:val="68220405"/>
    <w:rsid w:val="683E0693"/>
    <w:rsid w:val="685E7C65"/>
    <w:rsid w:val="68AB5C34"/>
    <w:rsid w:val="698F00A6"/>
    <w:rsid w:val="6A800692"/>
    <w:rsid w:val="6BF3478F"/>
    <w:rsid w:val="6DE10695"/>
    <w:rsid w:val="6E6658CD"/>
    <w:rsid w:val="6F1A55B9"/>
    <w:rsid w:val="70E11AE1"/>
    <w:rsid w:val="711B411C"/>
    <w:rsid w:val="7392213F"/>
    <w:rsid w:val="739F5CC0"/>
    <w:rsid w:val="748F3673"/>
    <w:rsid w:val="772F4719"/>
    <w:rsid w:val="773504DF"/>
    <w:rsid w:val="78667688"/>
    <w:rsid w:val="7A192AA7"/>
    <w:rsid w:val="7B395E66"/>
    <w:rsid w:val="7C4831AB"/>
    <w:rsid w:val="7C84019A"/>
    <w:rsid w:val="7E47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qFormat/>
    <w:uiPriority w:val="1"/>
    <w:pPr>
      <w:autoSpaceDE w:val="0"/>
      <w:autoSpaceDN w:val="0"/>
      <w:jc w:val="left"/>
    </w:pPr>
    <w:rPr>
      <w:rFonts w:ascii="宋体" w:hAnsi="宋体" w:eastAsia="宋体" w:cs="宋体"/>
      <w:kern w:val="0"/>
      <w:sz w:val="17"/>
      <w:szCs w:val="17"/>
      <w:lang w:val="zh-CN" w:bidi="zh-CN"/>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10">
    <w:name w:val="Table Grid"/>
    <w:basedOn w:val="9"/>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basedOn w:val="11"/>
    <w:qFormat/>
    <w:uiPriority w:val="22"/>
    <w:rPr>
      <w:b/>
    </w:rPr>
  </w:style>
  <w:style w:type="character" w:styleId="13">
    <w:name w:val="Emphasis"/>
    <w:qFormat/>
    <w:uiPriority w:val="20"/>
    <w:rPr>
      <w:i/>
      <w:iCs/>
    </w:rPr>
  </w:style>
  <w:style w:type="character" w:customStyle="1" w:styleId="14">
    <w:name w:val="页眉 Char"/>
    <w:basedOn w:val="11"/>
    <w:link w:val="6"/>
    <w:qFormat/>
    <w:uiPriority w:val="99"/>
    <w:rPr>
      <w:sz w:val="18"/>
      <w:szCs w:val="18"/>
    </w:rPr>
  </w:style>
  <w:style w:type="character" w:customStyle="1" w:styleId="15">
    <w:name w:val="页脚 Char"/>
    <w:basedOn w:val="11"/>
    <w:link w:val="5"/>
    <w:qFormat/>
    <w:uiPriority w:val="99"/>
    <w:rPr>
      <w:sz w:val="18"/>
      <w:szCs w:val="18"/>
    </w:rPr>
  </w:style>
  <w:style w:type="paragraph" w:customStyle="1" w:styleId="16">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7">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18">
    <w:name w:val="NormalCharacter"/>
    <w:semiHidden/>
    <w:qFormat/>
    <w:uiPriority w:val="0"/>
  </w:style>
  <w:style w:type="character" w:customStyle="1" w:styleId="19">
    <w:name w:val="font3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 w:type="character" w:customStyle="1" w:styleId="21">
    <w:name w:val="font41"/>
    <w:basedOn w:val="11"/>
    <w:qFormat/>
    <w:uiPriority w:val="0"/>
    <w:rPr>
      <w:rFonts w:hint="eastAsia" w:ascii="宋体" w:hAnsi="宋体" w:eastAsia="宋体" w:cs="宋体"/>
      <w:b/>
      <w:bCs/>
      <w:color w:val="000000"/>
      <w:sz w:val="24"/>
      <w:szCs w:val="24"/>
      <w:u w:val="none"/>
    </w:rPr>
  </w:style>
  <w:style w:type="character" w:customStyle="1" w:styleId="22">
    <w:name w:val="标题 1 字符"/>
    <w:basedOn w:val="11"/>
    <w:link w:val="2"/>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WZSZYY.CN</Company>
  <Pages>11</Pages>
  <Words>6646</Words>
  <Characters>6942</Characters>
  <Lines>6</Lines>
  <Paragraphs>1</Paragraphs>
  <TotalTime>5</TotalTime>
  <ScaleCrop>false</ScaleCrop>
  <LinksUpToDate>false</LinksUpToDate>
  <CharactersWithSpaces>7486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2022-05-31T06:24:51Z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2052-11.1.0.9021</vt:lpwstr>
  </property>
  <property fmtid="{D5CDD505-2E9C-101B-9397-08002B2CF9AE}" pid="4" name="ICV">
    <vt:lpwstr>99012001CC8449E1B44B4987A03F7E88</vt:lpwstr>
  </property>
</Properties>
</file>