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rPr>
          <w:rFonts w:hint="eastAsia" w:ascii="宋体" w:hAnsi="宋体" w:eastAsia="宋体"/>
          <w:color w:val="auto"/>
          <w:highlight w:val="none"/>
          <w:lang w:eastAsia="zh-CN"/>
        </w:rPr>
      </w:pPr>
      <w:bookmarkStart w:id="0" w:name="_Toc55374095"/>
      <w:r>
        <w:rPr>
          <w:rFonts w:hint="eastAsia" w:ascii="宋体" w:hAnsi="宋体" w:eastAsia="宋体"/>
          <w:color w:val="auto"/>
          <w:highlight w:val="none"/>
        </w:rPr>
        <w:t>温州市中医院龙湾院区全院综合运维服务外包采购项目</w:t>
      </w:r>
      <w:r>
        <w:rPr>
          <w:rFonts w:hint="eastAsia" w:ascii="宋体" w:hAnsi="宋体" w:eastAsia="宋体"/>
          <w:color w:val="auto"/>
          <w:highlight w:val="none"/>
          <w:lang w:val="en-US" w:eastAsia="zh-CN"/>
        </w:rPr>
        <w:t>公开遴选</w:t>
      </w:r>
      <w:r>
        <w:rPr>
          <w:rFonts w:hint="eastAsia" w:ascii="宋体" w:hAnsi="宋体" w:eastAsia="宋体"/>
          <w:color w:val="auto"/>
          <w:highlight w:val="none"/>
        </w:rPr>
        <w:t>采购</w:t>
      </w:r>
      <w:bookmarkEnd w:id="0"/>
      <w:r>
        <w:rPr>
          <w:rFonts w:hint="eastAsia" w:ascii="宋体" w:hAnsi="宋体" w:eastAsia="宋体"/>
          <w:color w:val="auto"/>
          <w:highlight w:val="none"/>
          <w:lang w:val="en-US" w:eastAsia="zh-CN"/>
        </w:rPr>
        <w:t>文件</w:t>
      </w:r>
    </w:p>
    <w:p>
      <w:pPr>
        <w:shd w:val="clear" w:fill="FFFFFF" w:themeFill="background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一、项目概况</w:t>
      </w:r>
    </w:p>
    <w:p>
      <w:pPr>
        <w:pStyle w:val="5"/>
        <w:shd w:val="clear" w:fill="FFFFFF" w:themeFill="background1"/>
        <w:overflowPunct w:val="0"/>
        <w:spacing w:line="348" w:lineRule="auto"/>
        <w:ind w:left="0" w:leftChars="0" w:firstLine="482" w:firstLineChars="200"/>
        <w:rPr>
          <w:rFonts w:hint="eastAsia" w:ascii="宋体" w:hAnsi="宋体"/>
          <w:b w:val="0"/>
          <w:bCs w:val="0"/>
          <w:color w:val="auto"/>
          <w:sz w:val="24"/>
          <w:highlight w:val="none"/>
          <w:lang w:val="en-US" w:eastAsia="zh-CN"/>
        </w:rPr>
      </w:pPr>
      <w:r>
        <w:rPr>
          <w:rFonts w:hint="eastAsia" w:ascii="宋体" w:hAnsi="宋体"/>
          <w:b/>
          <w:bCs/>
          <w:color w:val="auto"/>
          <w:sz w:val="24"/>
          <w:highlight w:val="none"/>
        </w:rPr>
        <w:t>招标内容：</w:t>
      </w:r>
      <w:r>
        <w:rPr>
          <w:rFonts w:hint="eastAsia" w:ascii="宋体" w:hAnsi="宋体"/>
          <w:b w:val="0"/>
          <w:bCs w:val="0"/>
          <w:color w:val="auto"/>
          <w:sz w:val="24"/>
          <w:highlight w:val="none"/>
          <w:lang w:val="en-US" w:eastAsia="zh-Hans"/>
        </w:rPr>
        <w:t>温州市中医院龙湾院区全院综合运维</w:t>
      </w:r>
      <w:r>
        <w:rPr>
          <w:rFonts w:hint="eastAsia" w:ascii="宋体" w:hAnsi="宋体"/>
          <w:b w:val="0"/>
          <w:bCs w:val="0"/>
          <w:color w:val="auto"/>
          <w:sz w:val="24"/>
          <w:highlight w:val="none"/>
          <w:lang w:val="en-US" w:eastAsia="zh-CN"/>
        </w:rPr>
        <w:t>服务外包采购项目</w:t>
      </w:r>
    </w:p>
    <w:p>
      <w:pPr>
        <w:ind w:firstLine="482" w:firstLineChars="200"/>
        <w:rPr>
          <w:rFonts w:hint="default"/>
          <w:lang w:val="en-US"/>
        </w:rPr>
      </w:pPr>
      <w:r>
        <w:rPr>
          <w:rFonts w:hint="eastAsia" w:ascii="宋体" w:hAnsi="宋体"/>
          <w:b/>
          <w:bCs/>
          <w:color w:val="auto"/>
          <w:sz w:val="24"/>
          <w:highlight w:val="none"/>
          <w:lang w:val="en-US" w:eastAsia="zh-CN"/>
        </w:rPr>
        <w:t>采购方式：</w:t>
      </w:r>
      <w:r>
        <w:rPr>
          <w:rFonts w:hint="eastAsia" w:ascii="宋体" w:hAnsi="宋体"/>
          <w:b w:val="0"/>
          <w:bCs w:val="0"/>
          <w:color w:val="auto"/>
          <w:sz w:val="24"/>
          <w:highlight w:val="none"/>
          <w:lang w:val="en-US" w:eastAsia="zh-CN"/>
        </w:rPr>
        <w:t>公开遴选（非政府采购）</w:t>
      </w:r>
    </w:p>
    <w:p>
      <w:pPr>
        <w:pStyle w:val="5"/>
        <w:shd w:val="clear" w:fill="FFFFFF" w:themeFill="background1"/>
        <w:overflowPunct w:val="0"/>
        <w:spacing w:line="348" w:lineRule="auto"/>
        <w:ind w:left="0" w:leftChars="0" w:firstLine="482" w:firstLineChars="200"/>
        <w:rPr>
          <w:rFonts w:hint="eastAsia" w:ascii="宋体" w:hAnsi="宋体"/>
          <w:color w:val="auto"/>
          <w:sz w:val="24"/>
          <w:szCs w:val="24"/>
          <w:highlight w:val="none"/>
        </w:rPr>
      </w:pPr>
      <w:r>
        <w:rPr>
          <w:rFonts w:hint="eastAsia" w:ascii="宋体" w:hAnsi="宋体"/>
          <w:b/>
          <w:bCs/>
          <w:color w:val="auto"/>
          <w:sz w:val="24"/>
          <w:highlight w:val="none"/>
        </w:rPr>
        <w:t>预算</w:t>
      </w:r>
      <w:r>
        <w:rPr>
          <w:rFonts w:hint="eastAsia" w:ascii="宋体" w:hAnsi="宋体"/>
          <w:b/>
          <w:bCs/>
          <w:color w:val="auto"/>
          <w:sz w:val="24"/>
          <w:highlight w:val="none"/>
          <w:lang w:val="en-US" w:eastAsia="zh-CN"/>
        </w:rPr>
        <w:t>金额</w:t>
      </w:r>
      <w:r>
        <w:rPr>
          <w:rFonts w:hint="eastAsia" w:ascii="宋体" w:hAnsi="宋体"/>
          <w:b/>
          <w:bCs/>
          <w:color w:val="auto"/>
          <w:sz w:val="24"/>
          <w:highlight w:val="none"/>
        </w:rPr>
        <w:t>：</w:t>
      </w:r>
      <w:r>
        <w:rPr>
          <w:rFonts w:hint="default" w:ascii="宋体" w:hAnsi="宋体"/>
          <w:color w:val="auto"/>
          <w:sz w:val="24"/>
          <w:szCs w:val="24"/>
          <w:highlight w:val="none"/>
        </w:rPr>
        <w:t>8</w:t>
      </w:r>
      <w:r>
        <w:rPr>
          <w:rFonts w:hint="eastAsia" w:ascii="宋体" w:hAnsi="宋体"/>
          <w:color w:val="auto"/>
          <w:sz w:val="24"/>
          <w:szCs w:val="24"/>
          <w:highlight w:val="none"/>
          <w:lang w:val="en-US" w:eastAsia="zh-CN"/>
        </w:rPr>
        <w:t>万</w:t>
      </w:r>
      <w:r>
        <w:rPr>
          <w:rFonts w:hint="eastAsia" w:ascii="宋体" w:hAnsi="宋体"/>
          <w:color w:val="auto"/>
          <w:sz w:val="24"/>
          <w:szCs w:val="24"/>
          <w:highlight w:val="none"/>
        </w:rPr>
        <w:t>元</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年</w:t>
      </w:r>
    </w:p>
    <w:p>
      <w:pPr>
        <w:shd w:val="clear" w:fill="FFFFFF" w:themeFill="background1"/>
        <w:snapToGrid w:val="0"/>
        <w:spacing w:line="360" w:lineRule="auto"/>
        <w:ind w:firstLine="482" w:firstLineChars="200"/>
        <w:rPr>
          <w:rFonts w:hint="eastAsia" w:ascii="宋体"/>
          <w:color w:val="auto"/>
          <w:sz w:val="24"/>
          <w:highlight w:val="none"/>
        </w:rPr>
      </w:pPr>
      <w:r>
        <w:rPr>
          <w:rFonts w:hint="eastAsia" w:ascii="宋体"/>
          <w:b/>
          <w:bCs/>
          <w:color w:val="auto"/>
          <w:sz w:val="24"/>
          <w:highlight w:val="none"/>
          <w:lang w:val="en-US" w:eastAsia="zh-CN"/>
        </w:rPr>
        <w:t>项目要求：</w:t>
      </w:r>
      <w:r>
        <w:rPr>
          <w:rFonts w:hint="eastAsia" w:ascii="宋体"/>
          <w:color w:val="auto"/>
          <w:sz w:val="24"/>
          <w:highlight w:val="none"/>
        </w:rPr>
        <w:t>项目需满足采购人全院</w:t>
      </w:r>
      <w:r>
        <w:rPr>
          <w:rFonts w:hint="eastAsia" w:ascii="宋体"/>
          <w:color w:val="auto"/>
          <w:sz w:val="24"/>
          <w:highlight w:val="none"/>
          <w:lang w:val="en-US" w:eastAsia="zh-Hans"/>
        </w:rPr>
        <w:t>桌面设备、外设设备、门诊排队叫号系统</w:t>
      </w:r>
      <w:r>
        <w:rPr>
          <w:rFonts w:hint="eastAsia" w:ascii="宋体"/>
          <w:color w:val="auto"/>
          <w:sz w:val="24"/>
          <w:highlight w:val="none"/>
        </w:rPr>
        <w:t>正常运转，降低整体成本、简化报修、报废等流程，能有效提高科室工作效率及信息化管理水平。项目服务范围包括</w:t>
      </w:r>
      <w:r>
        <w:rPr>
          <w:rFonts w:hint="eastAsia" w:ascii="宋体"/>
          <w:color w:val="auto"/>
          <w:sz w:val="24"/>
          <w:highlight w:val="none"/>
          <w:lang w:val="en-US" w:eastAsia="zh-Hans"/>
        </w:rPr>
        <w:t>桌面及外设设备的配件，门诊排队叫号系统的硬件维修及内容修改。</w:t>
      </w:r>
      <w:r>
        <w:rPr>
          <w:rFonts w:hint="eastAsia" w:ascii="宋体"/>
          <w:color w:val="auto"/>
          <w:sz w:val="24"/>
          <w:highlight w:val="none"/>
        </w:rPr>
        <w:t>中标人</w:t>
      </w:r>
      <w:r>
        <w:rPr>
          <w:rFonts w:hint="eastAsia" w:ascii="宋体"/>
          <w:color w:val="auto"/>
          <w:sz w:val="24"/>
          <w:highlight w:val="none"/>
          <w:lang w:val="en-US" w:eastAsia="zh-Hans"/>
        </w:rPr>
        <w:t>需有</w:t>
      </w:r>
      <w:r>
        <w:rPr>
          <w:rFonts w:hint="eastAsia" w:ascii="宋体"/>
          <w:color w:val="auto"/>
          <w:sz w:val="24"/>
          <w:highlight w:val="none"/>
        </w:rPr>
        <w:t>专职</w:t>
      </w:r>
      <w:r>
        <w:rPr>
          <w:rFonts w:hint="eastAsia" w:ascii="宋体"/>
          <w:color w:val="auto"/>
          <w:sz w:val="24"/>
          <w:highlight w:val="none"/>
          <w:lang w:val="en-US" w:eastAsia="zh-Hans"/>
        </w:rPr>
        <w:t>现</w:t>
      </w:r>
      <w:r>
        <w:rPr>
          <w:rFonts w:hint="eastAsia" w:ascii="宋体"/>
          <w:color w:val="auto"/>
          <w:sz w:val="24"/>
          <w:highlight w:val="none"/>
        </w:rPr>
        <w:t>场服务工程师，对</w:t>
      </w:r>
      <w:r>
        <w:rPr>
          <w:rFonts w:hint="eastAsia" w:ascii="宋体"/>
          <w:color w:val="auto"/>
          <w:sz w:val="24"/>
          <w:highlight w:val="none"/>
          <w:lang w:val="en-US" w:eastAsia="zh-Hans"/>
        </w:rPr>
        <w:t>桌面</w:t>
      </w:r>
      <w:r>
        <w:rPr>
          <w:rFonts w:hint="eastAsia" w:ascii="宋体"/>
          <w:color w:val="auto"/>
          <w:sz w:val="24"/>
          <w:highlight w:val="none"/>
        </w:rPr>
        <w:t>设备</w:t>
      </w:r>
      <w:r>
        <w:rPr>
          <w:rFonts w:hint="eastAsia" w:ascii="宋体"/>
          <w:color w:val="auto"/>
          <w:sz w:val="24"/>
          <w:highlight w:val="none"/>
          <w:lang w:val="en-US" w:eastAsia="zh-Hans"/>
        </w:rPr>
        <w:t>及外设设备、门诊排队叫号系统</w:t>
      </w:r>
      <w:r>
        <w:rPr>
          <w:rFonts w:hint="eastAsia" w:ascii="宋体"/>
          <w:color w:val="auto"/>
          <w:sz w:val="24"/>
          <w:highlight w:val="none"/>
        </w:rPr>
        <w:t>维修保养，并确保7*24小时响应。设备资产统一管理、设备维护保养和维护系统管理平台等为本次外包服务的内容。</w:t>
      </w:r>
    </w:p>
    <w:p>
      <w:pPr>
        <w:shd w:val="clear" w:color="auto" w:fill="FFFFFF" w:themeFill="background1"/>
        <w:rPr>
          <w:rFonts w:ascii="宋体" w:hAnsi="宋体" w:cs="宋体"/>
          <w:b/>
          <w:bCs/>
          <w:sz w:val="24"/>
        </w:rPr>
      </w:pPr>
      <w:r>
        <w:rPr>
          <w:rFonts w:hint="eastAsia" w:ascii="宋体" w:hAnsi="宋体" w:cs="宋体"/>
          <w:b/>
          <w:bCs/>
          <w:sz w:val="24"/>
        </w:rPr>
        <w:t>二、服务期限及付款方式</w:t>
      </w:r>
    </w:p>
    <w:p>
      <w:pPr>
        <w:pStyle w:val="5"/>
        <w:shd w:val="clear" w:color="auto" w:fill="FFFFFF" w:themeFill="background1"/>
        <w:overflowPunct w:val="0"/>
        <w:spacing w:line="348" w:lineRule="auto"/>
        <w:ind w:firstLine="482"/>
        <w:rPr>
          <w:rFonts w:ascii="宋体"/>
          <w:sz w:val="24"/>
        </w:rPr>
      </w:pPr>
      <w:r>
        <w:rPr>
          <w:rFonts w:hint="eastAsia" w:ascii="宋体"/>
          <w:sz w:val="24"/>
        </w:rPr>
        <w:t>1.服务期限：</w:t>
      </w:r>
      <w:r>
        <w:rPr>
          <w:rFonts w:hint="eastAsia" w:ascii="宋体" w:hAnsi="宋体"/>
          <w:sz w:val="24"/>
        </w:rPr>
        <w:t>合同期限为一年。合同期满后，若中标方服务满意度调查在</w:t>
      </w:r>
      <w:r>
        <w:rPr>
          <w:rFonts w:ascii="宋体" w:hAnsi="宋体"/>
          <w:sz w:val="24"/>
        </w:rPr>
        <w:t>80</w:t>
      </w:r>
      <w:r>
        <w:rPr>
          <w:rFonts w:hint="eastAsia" w:ascii="宋体" w:hAnsi="宋体"/>
          <w:sz w:val="24"/>
        </w:rPr>
        <w:t>分以上的，可续签一年的合同，同时新一年度的合同服务要求与上一年度相同且合同总价不高于上一年度合同总价，续签一年。</w:t>
      </w:r>
    </w:p>
    <w:p>
      <w:pPr>
        <w:shd w:val="clear" w:color="auto" w:fill="FFFFFF" w:themeFill="background1"/>
        <w:snapToGrid w:val="0"/>
        <w:spacing w:line="360" w:lineRule="auto"/>
        <w:ind w:firstLine="480" w:firstLineChars="200"/>
        <w:rPr>
          <w:rFonts w:ascii="宋体"/>
          <w:sz w:val="24"/>
        </w:rPr>
      </w:pPr>
      <w:r>
        <w:rPr>
          <w:rFonts w:hint="eastAsia" w:ascii="宋体"/>
          <w:sz w:val="24"/>
        </w:rPr>
        <w:t>2.付款方式</w:t>
      </w:r>
    </w:p>
    <w:p>
      <w:pPr>
        <w:shd w:val="clear" w:color="auto" w:fill="FFFFFF" w:themeFill="background1"/>
        <w:snapToGrid w:val="0"/>
        <w:spacing w:line="360" w:lineRule="auto"/>
        <w:ind w:firstLine="480" w:firstLineChars="200"/>
        <w:rPr>
          <w:rFonts w:ascii="宋体" w:hAnsi="宋体"/>
          <w:sz w:val="24"/>
        </w:rPr>
      </w:pPr>
      <w:bookmarkStart w:id="1" w:name="_Toc55374098"/>
      <w:r>
        <w:rPr>
          <w:rFonts w:hint="eastAsia" w:ascii="宋体" w:hAnsi="宋体"/>
          <w:sz w:val="24"/>
          <w:szCs w:val="22"/>
        </w:rPr>
        <w:t>合同签订后</w:t>
      </w:r>
      <w:r>
        <w:rPr>
          <w:rFonts w:hint="eastAsia" w:ascii="宋体" w:hAnsi="宋体"/>
          <w:sz w:val="24"/>
          <w:szCs w:val="22"/>
          <w:lang w:val="en-US" w:eastAsia="zh-CN"/>
        </w:rPr>
        <w:t>2个月内</w:t>
      </w:r>
      <w:r>
        <w:rPr>
          <w:rFonts w:hint="eastAsia" w:ascii="宋体" w:hAnsi="宋体"/>
          <w:sz w:val="24"/>
          <w:szCs w:val="22"/>
        </w:rPr>
        <w:t>，支付合同总金额的50%；服务到期后2个月内，支付剩余合同总金额的50%。</w:t>
      </w:r>
    </w:p>
    <w:p>
      <w:pPr>
        <w:shd w:val="clear" w:color="auto" w:fill="FFFFFF" w:themeFill="background1"/>
        <w:rPr>
          <w:rFonts w:ascii="宋体" w:hAnsi="宋体" w:cs="宋体"/>
          <w:b/>
          <w:bCs/>
          <w:sz w:val="24"/>
        </w:rPr>
      </w:pPr>
      <w:r>
        <w:rPr>
          <w:rFonts w:hint="eastAsia" w:ascii="宋体" w:hAnsi="宋体" w:cs="宋体"/>
          <w:b/>
          <w:bCs/>
          <w:sz w:val="24"/>
        </w:rPr>
        <w:t>三   服务内容</w:t>
      </w:r>
      <w:bookmarkEnd w:id="1"/>
    </w:p>
    <w:p>
      <w:pPr>
        <w:shd w:val="clear" w:color="auto" w:fill="FFFFFF" w:themeFill="background1"/>
        <w:ind w:firstLine="480" w:firstLineChars="200"/>
        <w:rPr>
          <w:rFonts w:hint="eastAsia" w:ascii="宋体" w:hAnsi="宋体" w:cs="宋体"/>
          <w:bCs/>
          <w:sz w:val="24"/>
        </w:rPr>
      </w:pPr>
      <w:r>
        <w:rPr>
          <w:rFonts w:hint="eastAsia" w:ascii="宋体" w:hAnsi="宋体" w:cs="宋体"/>
          <w:bCs/>
          <w:sz w:val="24"/>
        </w:rPr>
        <w:t>承担温州市中医院龙湾院区的信息化日常运维工作。</w:t>
      </w:r>
    </w:p>
    <w:p>
      <w:pPr>
        <w:rPr>
          <w:rFonts w:hint="eastAsia"/>
          <w:b/>
          <w:bCs/>
          <w:sz w:val="28"/>
          <w:szCs w:val="28"/>
          <w:highlight w:val="none"/>
        </w:rPr>
      </w:pPr>
      <w:r>
        <w:rPr>
          <w:rFonts w:hint="eastAsia"/>
          <w:b/>
          <w:bCs/>
          <w:sz w:val="28"/>
          <w:szCs w:val="28"/>
          <w:highlight w:val="none"/>
          <w:lang w:val="en-US" w:eastAsia="zh-CN"/>
        </w:rPr>
        <w:t>四、</w:t>
      </w:r>
      <w:r>
        <w:rPr>
          <w:rFonts w:hint="eastAsia"/>
          <w:b/>
          <w:bCs/>
          <w:sz w:val="28"/>
          <w:szCs w:val="28"/>
          <w:highlight w:val="none"/>
        </w:rPr>
        <w:t>维护要求：</w:t>
      </w:r>
    </w:p>
    <w:p>
      <w:pPr>
        <w:bidi w:val="0"/>
        <w:rPr>
          <w:rFonts w:hint="eastAsia"/>
          <w:b/>
          <w:bCs/>
          <w:highlight w:val="none"/>
        </w:rPr>
      </w:pPr>
      <w:r>
        <w:rPr>
          <w:rFonts w:hint="eastAsia"/>
          <w:b/>
          <w:bCs/>
          <w:highlight w:val="none"/>
        </w:rPr>
        <w:t>服务内容要求</w:t>
      </w:r>
    </w:p>
    <w:p>
      <w:pPr>
        <w:rPr>
          <w:rFonts w:hint="eastAsia"/>
          <w:highlight w:val="none"/>
        </w:rPr>
      </w:pPr>
      <w:r>
        <w:rPr>
          <w:rFonts w:hint="eastAsia"/>
          <w:highlight w:val="none"/>
        </w:rPr>
        <w:t>1、现场服务：</w:t>
      </w:r>
    </w:p>
    <w:p>
      <w:pPr>
        <w:ind w:firstLine="420" w:firstLineChars="200"/>
        <w:rPr>
          <w:rFonts w:hint="eastAsia"/>
          <w:highlight w:val="none"/>
        </w:rPr>
      </w:pPr>
      <w:r>
        <w:rPr>
          <w:rFonts w:hint="eastAsia"/>
          <w:highlight w:val="none"/>
        </w:rPr>
        <w:t>中标人必须有指定工程师现场7*24小时不间断服务。工程师须对桌面设备及外设设备、门诊排队叫号系统进行维修保养，并能协助信息科处理部分工作，响应各科室需求等服务。如碰到特殊情况需按医院要求加派人员提供服务。</w:t>
      </w:r>
    </w:p>
    <w:p>
      <w:pPr>
        <w:rPr>
          <w:rFonts w:hint="eastAsia"/>
          <w:highlight w:val="none"/>
        </w:rPr>
      </w:pPr>
      <w:r>
        <w:rPr>
          <w:rFonts w:hint="eastAsia"/>
          <w:highlight w:val="none"/>
        </w:rPr>
        <w:t>由于医疗行业的特殊性，遇有法定节假日或重大活动，中标供应商应主动提前提供值班工程师名单及联系电话，做到医院呼叫及时响应。</w:t>
      </w:r>
    </w:p>
    <w:p>
      <w:pPr>
        <w:rPr>
          <w:rFonts w:hint="eastAsia"/>
          <w:highlight w:val="none"/>
        </w:rPr>
      </w:pPr>
      <w:r>
        <w:rPr>
          <w:rFonts w:hint="eastAsia"/>
          <w:highlight w:val="none"/>
        </w:rPr>
        <w:t>2、备用机服务：中标人需根据各类型设备提供相应数量的备用机，并备有配件库存。</w:t>
      </w:r>
    </w:p>
    <w:p>
      <w:pPr>
        <w:rPr>
          <w:rFonts w:hint="eastAsia"/>
          <w:highlight w:val="none"/>
        </w:rPr>
      </w:pPr>
      <w:r>
        <w:rPr>
          <w:rFonts w:hint="eastAsia"/>
          <w:highlight w:val="none"/>
        </w:rPr>
        <w:t>3</w:t>
      </w:r>
      <w:r>
        <w:rPr>
          <w:rFonts w:hint="eastAsia"/>
          <w:highlight w:val="none"/>
          <w:lang w:eastAsia="zh-CN"/>
        </w:rPr>
        <w:t>、</w:t>
      </w:r>
      <w:r>
        <w:rPr>
          <w:rFonts w:hint="eastAsia"/>
          <w:highlight w:val="none"/>
        </w:rPr>
        <w:t>维修响应时间：接到医院报修电话后维修人员在30分钟内到达现场听从安排，30分钟内解决问题。</w:t>
      </w:r>
    </w:p>
    <w:p>
      <w:pPr>
        <w:rPr>
          <w:rFonts w:hint="eastAsia"/>
          <w:highlight w:val="none"/>
        </w:rPr>
      </w:pPr>
      <w:r>
        <w:rPr>
          <w:rFonts w:hint="eastAsia"/>
          <w:highlight w:val="none"/>
        </w:rPr>
        <w:t>4</w:t>
      </w:r>
      <w:r>
        <w:rPr>
          <w:rFonts w:hint="eastAsia"/>
          <w:highlight w:val="none"/>
          <w:lang w:eastAsia="zh-CN"/>
        </w:rPr>
        <w:t>、</w:t>
      </w:r>
      <w:r>
        <w:rPr>
          <w:rFonts w:hint="eastAsia"/>
          <w:highlight w:val="none"/>
        </w:rPr>
        <w:t>修复故障时间：接到医院报修电话后维修人员在30分钟内修复一般故障（更换易损配件），如不能修复，及时提供备用机。</w:t>
      </w:r>
    </w:p>
    <w:p>
      <w:pPr>
        <w:rPr>
          <w:rFonts w:hint="eastAsia"/>
          <w:highlight w:val="none"/>
        </w:rPr>
      </w:pPr>
      <w:r>
        <w:rPr>
          <w:rFonts w:hint="eastAsia"/>
          <w:highlight w:val="none"/>
        </w:rPr>
        <w:t xml:space="preserve">5、每半年度完成一轮对全院桌面设备及外设设备、门诊排队叫号系统的详细盘点和清洁保养，并统计设备数量、服务情况等相关信息。 </w:t>
      </w:r>
    </w:p>
    <w:p>
      <w:pPr>
        <w:rPr>
          <w:rFonts w:hint="eastAsia"/>
          <w:highlight w:val="none"/>
        </w:rPr>
      </w:pPr>
      <w:r>
        <w:rPr>
          <w:rFonts w:hint="eastAsia"/>
          <w:highlight w:val="none"/>
        </w:rPr>
        <w:t>6、每季度向管理部门提供管理报告（包括设备清单，各类问题处理，维修保养记录、改善建议等）</w:t>
      </w:r>
    </w:p>
    <w:p>
      <w:pPr>
        <w:rPr>
          <w:rFonts w:hint="eastAsia"/>
          <w:highlight w:val="none"/>
        </w:rPr>
      </w:pPr>
      <w:r>
        <w:rPr>
          <w:rFonts w:hint="eastAsia"/>
          <w:highlight w:val="none"/>
        </w:rPr>
        <w:t>7、中标人根据医院的相关管理要求提供针对该外包服务相关的管理平台，具备大屏工单状态，该平台至少应具有数据统计、智能叫修、移动端智能报修、维修日志、资产管理、出入库明细管理、科室实时评价，耗材/设备等申领和预申领、大屏幕维修状态等功能。</w:t>
      </w:r>
    </w:p>
    <w:p>
      <w:pPr>
        <w:rPr>
          <w:rFonts w:hint="eastAsia"/>
          <w:b/>
          <w:bCs/>
          <w:highlight w:val="none"/>
        </w:rPr>
      </w:pPr>
      <w:r>
        <w:rPr>
          <w:rFonts w:hint="eastAsia"/>
          <w:b/>
          <w:bCs/>
          <w:highlight w:val="none"/>
        </w:rPr>
        <w:t>设备配置要求</w:t>
      </w:r>
    </w:p>
    <w:p>
      <w:pPr>
        <w:ind w:firstLine="420" w:firstLineChars="200"/>
        <w:rPr>
          <w:rFonts w:hint="eastAsia"/>
          <w:highlight w:val="none"/>
        </w:rPr>
      </w:pPr>
      <w:r>
        <w:rPr>
          <w:rFonts w:hint="eastAsia"/>
          <w:highlight w:val="none"/>
        </w:rPr>
        <w:t>在现有设备范围内，中标人应对医院桌面设备、门诊排队叫号系统进行定期的维护管理和配置优化，确保医院整个桌面设备及外设设备、门诊排队叫号系统运转的高效、稳定和安全，减少和避免系统性能瓶颈，杜绝安全事故，并且能根据医院实际需求，提供服务的合理化建议和方案。</w:t>
      </w:r>
    </w:p>
    <w:p>
      <w:pPr>
        <w:rPr>
          <w:rFonts w:hint="eastAsia"/>
          <w:b/>
          <w:bCs/>
          <w:highlight w:val="none"/>
        </w:rPr>
      </w:pPr>
      <w:r>
        <w:rPr>
          <w:rFonts w:hint="eastAsia"/>
          <w:b/>
          <w:bCs/>
          <w:highlight w:val="none"/>
        </w:rPr>
        <w:t>门诊排队叫号系统运维</w:t>
      </w:r>
    </w:p>
    <w:p>
      <w:pPr>
        <w:ind w:firstLine="420" w:firstLineChars="200"/>
        <w:rPr>
          <w:rFonts w:hint="eastAsia"/>
          <w:highlight w:val="none"/>
        </w:rPr>
      </w:pPr>
      <w:r>
        <w:rPr>
          <w:rFonts w:hint="eastAsia"/>
          <w:highlight w:val="none"/>
        </w:rPr>
        <w:t>1、服务期内，乙方为甲方提供甲方当前使用的分诊导引系统软件软件正常运行的技术支持服务。</w:t>
      </w:r>
    </w:p>
    <w:p>
      <w:pPr>
        <w:ind w:firstLine="420" w:firstLineChars="200"/>
        <w:rPr>
          <w:rFonts w:hint="eastAsia"/>
          <w:highlight w:val="none"/>
        </w:rPr>
      </w:pPr>
      <w:r>
        <w:rPr>
          <w:rFonts w:hint="eastAsia"/>
          <w:highlight w:val="none"/>
        </w:rPr>
        <w:t>2、服务期内，乙方免费为甲方提供系统使用疑难问题解答服务。</w:t>
      </w:r>
    </w:p>
    <w:p>
      <w:pPr>
        <w:ind w:firstLine="420" w:firstLineChars="200"/>
        <w:rPr>
          <w:rFonts w:hint="eastAsia"/>
          <w:highlight w:val="none"/>
        </w:rPr>
      </w:pPr>
      <w:r>
        <w:rPr>
          <w:rFonts w:hint="eastAsia"/>
          <w:highlight w:val="none"/>
        </w:rPr>
        <w:t>3、服务期内，乙方负责甲方当前使用的分诊导引系统、硬件的免费维修（液晶屏体除外）。</w:t>
      </w:r>
    </w:p>
    <w:p>
      <w:pPr>
        <w:ind w:firstLine="420" w:firstLineChars="200"/>
        <w:rPr>
          <w:rFonts w:hint="eastAsia"/>
          <w:highlight w:val="none"/>
        </w:rPr>
      </w:pPr>
      <w:r>
        <w:rPr>
          <w:rFonts w:hint="eastAsia"/>
          <w:highlight w:val="none"/>
        </w:rPr>
        <w:t>4、服务期内，甲方当前使用的分诊导引系统硬件、无法维修需要更换配件时，乙方不收取费用，若需要更换整件设备时，乙方按原采购合同硬件单价的8折费用收取。</w:t>
      </w:r>
    </w:p>
    <w:p>
      <w:pPr>
        <w:ind w:firstLine="420" w:firstLineChars="200"/>
        <w:rPr>
          <w:rFonts w:hint="eastAsia"/>
          <w:highlight w:val="none"/>
        </w:rPr>
      </w:pPr>
      <w:r>
        <w:rPr>
          <w:rFonts w:hint="eastAsia"/>
          <w:highlight w:val="none"/>
        </w:rPr>
        <w:t>5、提供运维平台：具备报修端（扫码报修功能、查看维修状态功能、服务评价功能）；维修端：具备维修抢单、派单功能、用户定位、具备扫码维修、审核、及自动推送功能；管理端：具备用户管理、设备管理、维修订单管理等功能</w:t>
      </w:r>
    </w:p>
    <w:p>
      <w:pPr>
        <w:ind w:firstLine="420" w:firstLineChars="200"/>
        <w:rPr>
          <w:rFonts w:hint="eastAsia"/>
          <w:highlight w:val="none"/>
        </w:rPr>
      </w:pPr>
      <w:r>
        <w:rPr>
          <w:rFonts w:hint="eastAsia"/>
          <w:highlight w:val="none"/>
        </w:rPr>
        <w:t>6、服务期内，乙方应负责甲方目前使用的分诊导引系统做技术支持售后服务。</w:t>
      </w:r>
    </w:p>
    <w:p>
      <w:pPr>
        <w:ind w:firstLine="420" w:firstLineChars="200"/>
        <w:rPr>
          <w:rFonts w:hint="eastAsia"/>
          <w:highlight w:val="none"/>
        </w:rPr>
      </w:pPr>
      <w:r>
        <w:rPr>
          <w:rFonts w:hint="eastAsia"/>
          <w:highlight w:val="none"/>
        </w:rPr>
        <w:t>7、服务期内，需确保显示屏在正确的位置稳定使用。(因各类环境因素导致的屏幕倾斜、脱落，需及时纠正)。</w:t>
      </w:r>
    </w:p>
    <w:p>
      <w:pPr>
        <w:ind w:firstLine="420" w:firstLineChars="200"/>
        <w:rPr>
          <w:rFonts w:hint="eastAsia"/>
          <w:highlight w:val="none"/>
        </w:rPr>
      </w:pPr>
      <w:r>
        <w:rPr>
          <w:rFonts w:hint="eastAsia"/>
          <w:highlight w:val="none"/>
        </w:rPr>
        <w:t>8、服务期内，甲方排队叫号设备，乙方为其提供后台开关设置功能。</w:t>
      </w:r>
    </w:p>
    <w:p>
      <w:pPr>
        <w:ind w:firstLine="420" w:firstLineChars="200"/>
        <w:rPr>
          <w:rFonts w:hint="eastAsia"/>
          <w:highlight w:val="none"/>
        </w:rPr>
      </w:pPr>
      <w:r>
        <w:rPr>
          <w:rFonts w:hint="eastAsia"/>
          <w:highlight w:val="none"/>
        </w:rPr>
        <w:t>9、每年巡检2次医院打印设备及多媒体宣教系统运维设备并记录。</w:t>
      </w:r>
    </w:p>
    <w:p>
      <w:pPr>
        <w:ind w:firstLine="420" w:firstLineChars="200"/>
        <w:rPr>
          <w:rFonts w:hint="eastAsia"/>
          <w:highlight w:val="none"/>
        </w:rPr>
      </w:pPr>
      <w:r>
        <w:rPr>
          <w:rFonts w:hint="eastAsia"/>
          <w:highlight w:val="none"/>
        </w:rPr>
        <w:t>10、服务对象包括：</w:t>
      </w:r>
    </w:p>
    <w:p>
      <w:pPr>
        <w:ind w:firstLine="420" w:firstLineChars="200"/>
        <w:rPr>
          <w:rFonts w:hint="eastAsia"/>
          <w:highlight w:val="none"/>
        </w:rPr>
      </w:pPr>
      <w:r>
        <w:rPr>
          <w:rFonts w:hint="eastAsia"/>
          <w:highlight w:val="none"/>
        </w:rPr>
        <w:t>1）软件：</w:t>
      </w:r>
    </w:p>
    <w:p>
      <w:pPr>
        <w:ind w:firstLine="840" w:firstLineChars="400"/>
        <w:rPr>
          <w:rFonts w:hint="eastAsia"/>
          <w:highlight w:val="none"/>
        </w:rPr>
      </w:pPr>
      <w:r>
        <w:rPr>
          <w:rFonts w:hint="eastAsia"/>
          <w:highlight w:val="none"/>
        </w:rPr>
        <w:t>①分诊台软件</w:t>
      </w:r>
    </w:p>
    <w:p>
      <w:pPr>
        <w:ind w:firstLine="840" w:firstLineChars="400"/>
        <w:rPr>
          <w:rFonts w:hint="eastAsia"/>
          <w:highlight w:val="none"/>
        </w:rPr>
      </w:pPr>
      <w:r>
        <w:rPr>
          <w:rFonts w:hint="eastAsia"/>
          <w:highlight w:val="none"/>
        </w:rPr>
        <w:t>②虚拟叫号器软件</w:t>
      </w:r>
    </w:p>
    <w:p>
      <w:pPr>
        <w:ind w:firstLine="840" w:firstLineChars="400"/>
        <w:rPr>
          <w:rFonts w:hint="eastAsia"/>
          <w:highlight w:val="none"/>
        </w:rPr>
      </w:pPr>
      <w:r>
        <w:rPr>
          <w:rFonts w:hint="eastAsia"/>
          <w:highlight w:val="none"/>
        </w:rPr>
        <w:t>③服务器端软件</w:t>
      </w:r>
    </w:p>
    <w:p>
      <w:pPr>
        <w:ind w:firstLine="840" w:firstLineChars="400"/>
        <w:rPr>
          <w:rFonts w:hint="eastAsia"/>
          <w:highlight w:val="none"/>
        </w:rPr>
      </w:pPr>
      <w:r>
        <w:rPr>
          <w:rFonts w:hint="eastAsia"/>
          <w:highlight w:val="none"/>
        </w:rPr>
        <w:t>④数据库维护</w:t>
      </w:r>
    </w:p>
    <w:p>
      <w:pPr>
        <w:ind w:firstLine="420" w:firstLineChars="200"/>
        <w:rPr>
          <w:rFonts w:hint="eastAsia"/>
          <w:highlight w:val="none"/>
        </w:rPr>
      </w:pPr>
      <w:r>
        <w:rPr>
          <w:rFonts w:hint="eastAsia"/>
          <w:highlight w:val="none"/>
        </w:rPr>
        <w:t>2）硬件：</w:t>
      </w:r>
    </w:p>
    <w:p>
      <w:pPr>
        <w:ind w:firstLine="840" w:firstLineChars="400"/>
        <w:rPr>
          <w:rFonts w:hint="eastAsia"/>
          <w:highlight w:val="none"/>
        </w:rPr>
      </w:pPr>
      <w:r>
        <w:rPr>
          <w:rFonts w:hint="eastAsia"/>
          <w:highlight w:val="none"/>
        </w:rPr>
        <w:t>①分诊台候诊屏</w:t>
      </w:r>
    </w:p>
    <w:p>
      <w:pPr>
        <w:ind w:firstLine="840" w:firstLineChars="400"/>
        <w:rPr>
          <w:rFonts w:hint="eastAsia"/>
          <w:highlight w:val="none"/>
        </w:rPr>
      </w:pPr>
      <w:r>
        <w:rPr>
          <w:rFonts w:hint="eastAsia"/>
          <w:highlight w:val="none"/>
        </w:rPr>
        <w:t>②诊室叫号屏</w:t>
      </w:r>
    </w:p>
    <w:p>
      <w:pPr>
        <w:ind w:firstLine="840" w:firstLineChars="400"/>
        <w:rPr>
          <w:rFonts w:hint="eastAsia"/>
          <w:highlight w:val="none"/>
        </w:rPr>
      </w:pPr>
      <w:r>
        <w:rPr>
          <w:rFonts w:hint="eastAsia"/>
          <w:highlight w:val="none"/>
        </w:rPr>
        <w:t>③自助终端</w:t>
      </w:r>
    </w:p>
    <w:p>
      <w:pPr>
        <w:ind w:firstLine="840" w:firstLineChars="400"/>
        <w:rPr>
          <w:rFonts w:hint="eastAsia"/>
          <w:highlight w:val="none"/>
        </w:rPr>
      </w:pPr>
      <w:r>
        <w:rPr>
          <w:rFonts w:hint="eastAsia"/>
          <w:highlight w:val="none"/>
        </w:rPr>
        <w:t>④物理叫号</w:t>
      </w:r>
    </w:p>
    <w:p>
      <w:pPr>
        <w:ind w:firstLine="840" w:firstLineChars="400"/>
        <w:rPr>
          <w:rFonts w:hint="eastAsia"/>
          <w:highlight w:val="none"/>
        </w:rPr>
      </w:pPr>
      <w:r>
        <w:rPr>
          <w:rFonts w:hint="eastAsia"/>
          <w:highlight w:val="none"/>
        </w:rPr>
        <w:t>⑤系统其他外设设备</w:t>
      </w:r>
    </w:p>
    <w:p>
      <w:pPr>
        <w:rPr>
          <w:rFonts w:hint="eastAsia"/>
          <w:b/>
          <w:bCs/>
        </w:rPr>
      </w:pPr>
      <w:r>
        <w:rPr>
          <w:rFonts w:hint="eastAsia"/>
          <w:b/>
          <w:bCs/>
        </w:rPr>
        <w:t>考核内容</w:t>
      </w:r>
    </w:p>
    <w:p>
      <w:pPr>
        <w:ind w:firstLine="420" w:firstLineChars="200"/>
        <w:rPr>
          <w:rFonts w:hint="eastAsia"/>
        </w:rPr>
      </w:pPr>
      <w:r>
        <w:rPr>
          <w:rFonts w:hint="eastAsia"/>
        </w:rPr>
        <w:t>全年进行一次全院满意度测评。</w:t>
      </w:r>
    </w:p>
    <w:p>
      <w:pPr>
        <w:rPr>
          <w:rFonts w:hint="eastAsia"/>
          <w:b/>
          <w:bCs/>
        </w:rPr>
      </w:pPr>
      <w:r>
        <w:rPr>
          <w:rFonts w:hint="eastAsia"/>
          <w:b/>
          <w:bCs/>
        </w:rPr>
        <w:t>保密服务承诺</w:t>
      </w:r>
    </w:p>
    <w:p>
      <w:pPr>
        <w:ind w:firstLine="420" w:firstLineChars="200"/>
        <w:rPr>
          <w:rFonts w:hint="eastAsia"/>
        </w:rPr>
      </w:pPr>
      <w:r>
        <w:rPr>
          <w:rFonts w:hint="eastAsia"/>
        </w:rPr>
        <w:t>1、供应商的专职工程师应该对用户单位的信息具有保密义务。在进行服务的过程中，应当佩戴医院外包人员胸牌，并严格遵守服务规范和用户单位的规章制度。</w:t>
      </w:r>
    </w:p>
    <w:p>
      <w:pPr>
        <w:ind w:firstLine="420" w:firstLineChars="200"/>
        <w:rPr>
          <w:rFonts w:hint="eastAsia"/>
        </w:rPr>
      </w:pPr>
      <w:r>
        <w:rPr>
          <w:rFonts w:hint="eastAsia"/>
        </w:rPr>
        <w:t>2、在提供维护服务以及维修硬盘、U盘等存储设备时必须征求当事人的意见，不得随意删除用户数据。</w:t>
      </w:r>
    </w:p>
    <w:p>
      <w:pPr>
        <w:ind w:firstLine="420" w:firstLineChars="200"/>
        <w:rPr>
          <w:rFonts w:hint="eastAsia"/>
        </w:rPr>
      </w:pPr>
      <w:r>
        <w:rPr>
          <w:rFonts w:hint="eastAsia"/>
        </w:rPr>
        <w:t>3、投标单位对涉及机密的数据进行维护时，要求由用户单位相关使用人在场，如果因为投标单位过失引起的泄密，将依法追究其民事、刑事责任。</w:t>
      </w:r>
    </w:p>
    <w:p>
      <w:pPr>
        <w:numPr>
          <w:ilvl w:val="0"/>
          <w:numId w:val="0"/>
        </w:numPr>
        <w:bidi w:val="0"/>
        <w:rPr>
          <w:rFonts w:hint="eastAsia"/>
          <w:color w:val="auto"/>
        </w:rPr>
      </w:pPr>
    </w:p>
    <w:p>
      <w:pPr>
        <w:numPr>
          <w:ilvl w:val="0"/>
          <w:numId w:val="0"/>
        </w:numPr>
        <w:bidi w:val="0"/>
        <w:rPr>
          <w:rFonts w:hint="eastAsia"/>
          <w:b/>
          <w:bCs/>
          <w:sz w:val="28"/>
          <w:szCs w:val="28"/>
        </w:rPr>
      </w:pPr>
      <w:r>
        <w:rPr>
          <w:rFonts w:hint="eastAsia"/>
          <w:b/>
          <w:bCs/>
          <w:color w:val="auto"/>
          <w:sz w:val="28"/>
          <w:szCs w:val="28"/>
          <w:lang w:val="en-US" w:eastAsia="zh-CN"/>
        </w:rPr>
        <w:t>五、</w:t>
      </w:r>
      <w:r>
        <w:rPr>
          <w:rFonts w:hint="eastAsia"/>
          <w:b/>
          <w:bCs/>
          <w:color w:val="auto"/>
          <w:sz w:val="28"/>
          <w:szCs w:val="28"/>
        </w:rPr>
        <w:t>巡检要求</w:t>
      </w:r>
    </w:p>
    <w:p>
      <w:pPr>
        <w:bidi w:val="0"/>
        <w:ind w:firstLine="420" w:firstLineChars="200"/>
        <w:rPr>
          <w:rFonts w:hint="eastAsia"/>
          <w:color w:val="auto"/>
        </w:rPr>
      </w:pPr>
      <w:r>
        <w:rPr>
          <w:rFonts w:hint="eastAsia"/>
          <w:color w:val="auto"/>
        </w:rPr>
        <w:t>每半年度进行一次全面维护，桌面设备进行预防性维护，排除系统的隐患，解决系统出现的故障。</w:t>
      </w:r>
    </w:p>
    <w:p>
      <w:pPr>
        <w:bidi w:val="0"/>
        <w:ind w:firstLine="420" w:firstLineChars="200"/>
        <w:rPr>
          <w:rFonts w:hint="eastAsia"/>
          <w:color w:val="auto"/>
        </w:rPr>
      </w:pPr>
      <w:r>
        <w:rPr>
          <w:rFonts w:hint="eastAsia"/>
          <w:color w:val="auto"/>
        </w:rPr>
        <w:t>每次巡检应提供巡检报告，并根据巡检报告，及时与用户进行交流，及时协调解决维护工作中的问题。</w:t>
      </w:r>
    </w:p>
    <w:p>
      <w:pPr>
        <w:bidi w:val="0"/>
        <w:ind w:firstLine="420" w:firstLineChars="200"/>
        <w:rPr>
          <w:rFonts w:hint="eastAsia"/>
          <w:color w:val="auto"/>
        </w:rPr>
      </w:pPr>
      <w:r>
        <w:rPr>
          <w:rFonts w:hint="eastAsia"/>
          <w:color w:val="auto"/>
        </w:rPr>
        <w:t>中标人承诺更换所有参加维保设备的故障硬件，不再收取任何其他的相关费用，如劳务、交通费等。</w:t>
      </w:r>
    </w:p>
    <w:tbl>
      <w:tblPr>
        <w:tblStyle w:val="7"/>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96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18" w:type="dxa"/>
            <w:noWrap w:val="0"/>
            <w:vAlign w:val="top"/>
          </w:tcPr>
          <w:p>
            <w:pPr>
              <w:spacing w:line="360" w:lineRule="auto"/>
              <w:jc w:val="center"/>
              <w:rPr>
                <w:b/>
                <w:color w:val="auto"/>
                <w:sz w:val="32"/>
                <w:szCs w:val="32"/>
              </w:rPr>
            </w:pPr>
            <w:r>
              <w:rPr>
                <w:rFonts w:hint="eastAsia"/>
                <w:color w:val="auto"/>
              </w:rPr>
              <w:t>巡检次数</w:t>
            </w:r>
          </w:p>
        </w:tc>
        <w:tc>
          <w:tcPr>
            <w:tcW w:w="4961" w:type="dxa"/>
            <w:noWrap w:val="0"/>
            <w:vAlign w:val="top"/>
          </w:tcPr>
          <w:p>
            <w:pPr>
              <w:spacing w:line="360" w:lineRule="auto"/>
              <w:jc w:val="center"/>
              <w:rPr>
                <w:b/>
                <w:color w:val="auto"/>
                <w:sz w:val="32"/>
                <w:szCs w:val="32"/>
              </w:rPr>
            </w:pPr>
            <w:r>
              <w:rPr>
                <w:rFonts w:hint="eastAsia"/>
                <w:color w:val="auto"/>
              </w:rPr>
              <w:t>巡检内容</w:t>
            </w:r>
          </w:p>
        </w:tc>
        <w:tc>
          <w:tcPr>
            <w:tcW w:w="2410" w:type="dxa"/>
            <w:noWrap w:val="0"/>
            <w:vAlign w:val="top"/>
          </w:tcPr>
          <w:p>
            <w:pPr>
              <w:spacing w:line="360" w:lineRule="auto"/>
              <w:jc w:val="center"/>
              <w:rPr>
                <w:b/>
                <w:color w:val="auto"/>
                <w:sz w:val="32"/>
                <w:szCs w:val="32"/>
              </w:rPr>
            </w:pPr>
            <w:r>
              <w:rPr>
                <w:rFonts w:hint="eastAsia"/>
                <w:color w:val="auto"/>
              </w:rPr>
              <w:t>巡检项目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18" w:type="dxa"/>
            <w:noWrap w:val="0"/>
            <w:vAlign w:val="top"/>
          </w:tcPr>
          <w:p>
            <w:pPr>
              <w:spacing w:line="360" w:lineRule="auto"/>
              <w:rPr>
                <w:color w:val="auto"/>
              </w:rPr>
            </w:pPr>
          </w:p>
          <w:p>
            <w:pPr>
              <w:spacing w:line="360" w:lineRule="auto"/>
              <w:rPr>
                <w:color w:val="auto"/>
              </w:rPr>
            </w:pPr>
          </w:p>
          <w:p>
            <w:pPr>
              <w:spacing w:line="360" w:lineRule="auto"/>
              <w:jc w:val="center"/>
              <w:rPr>
                <w:color w:val="auto"/>
              </w:rPr>
            </w:pPr>
            <w:r>
              <w:rPr>
                <w:rFonts w:hint="eastAsia"/>
                <w:color w:val="auto"/>
              </w:rPr>
              <w:t>（全年2次定期巡检）</w:t>
            </w:r>
          </w:p>
        </w:tc>
        <w:tc>
          <w:tcPr>
            <w:tcW w:w="4961" w:type="dxa"/>
            <w:noWrap w:val="0"/>
            <w:vAlign w:val="top"/>
          </w:tcPr>
          <w:p>
            <w:pPr>
              <w:spacing w:line="360" w:lineRule="auto"/>
              <w:jc w:val="left"/>
              <w:rPr>
                <w:color w:val="auto"/>
              </w:rPr>
            </w:pPr>
            <w:r>
              <w:rPr>
                <w:rFonts w:hint="eastAsia"/>
                <w:color w:val="auto"/>
              </w:rPr>
              <w:t>1.检查服务器端数据库冗余情况，及时排除问题。</w:t>
            </w:r>
          </w:p>
          <w:p>
            <w:pPr>
              <w:spacing w:line="360" w:lineRule="auto"/>
              <w:jc w:val="left"/>
              <w:rPr>
                <w:color w:val="auto"/>
              </w:rPr>
            </w:pPr>
            <w:r>
              <w:rPr>
                <w:rFonts w:hint="eastAsia"/>
                <w:color w:val="auto"/>
              </w:rPr>
              <w:t>2.与相关科室应用人员沟通使用状况，排除隐患产生。</w:t>
            </w:r>
          </w:p>
          <w:p>
            <w:pPr>
              <w:spacing w:line="360" w:lineRule="auto"/>
              <w:jc w:val="left"/>
              <w:rPr>
                <w:color w:val="auto"/>
              </w:rPr>
            </w:pPr>
            <w:r>
              <w:rPr>
                <w:rFonts w:hint="eastAsia"/>
                <w:color w:val="auto"/>
              </w:rPr>
              <w:t>3.检查设备终端以及其他外设设备。</w:t>
            </w:r>
          </w:p>
          <w:p>
            <w:pPr>
              <w:spacing w:line="360" w:lineRule="auto"/>
              <w:jc w:val="left"/>
              <w:rPr>
                <w:color w:val="auto"/>
              </w:rPr>
            </w:pPr>
            <w:r>
              <w:rPr>
                <w:rFonts w:hint="eastAsia"/>
                <w:color w:val="auto"/>
              </w:rPr>
              <w:t>4.与用户填写巡检检查项目表</w:t>
            </w:r>
          </w:p>
          <w:p>
            <w:pPr>
              <w:spacing w:line="360" w:lineRule="auto"/>
              <w:jc w:val="left"/>
              <w:rPr>
                <w:color w:val="auto"/>
              </w:rPr>
            </w:pPr>
            <w:r>
              <w:rPr>
                <w:rFonts w:hint="eastAsia"/>
                <w:color w:val="auto"/>
              </w:rPr>
              <w:t>5.可以对相关使用人员进行日常维护培训</w:t>
            </w:r>
          </w:p>
          <w:p>
            <w:pPr>
              <w:spacing w:line="360" w:lineRule="auto"/>
              <w:jc w:val="left"/>
              <w:rPr>
                <w:color w:val="auto"/>
              </w:rPr>
            </w:pPr>
            <w:r>
              <w:rPr>
                <w:rFonts w:hint="eastAsia"/>
                <w:color w:val="auto"/>
              </w:rPr>
              <w:t>6.每次巡检后应向甲方提供巡检报告</w:t>
            </w:r>
          </w:p>
        </w:tc>
        <w:tc>
          <w:tcPr>
            <w:tcW w:w="2410" w:type="dxa"/>
            <w:noWrap w:val="0"/>
            <w:vAlign w:val="top"/>
          </w:tcPr>
          <w:p>
            <w:pPr>
              <w:spacing w:line="360" w:lineRule="auto"/>
              <w:jc w:val="left"/>
              <w:rPr>
                <w:color w:val="auto"/>
              </w:rPr>
            </w:pPr>
            <w:r>
              <w:rPr>
                <w:rFonts w:hint="eastAsia"/>
                <w:color w:val="auto"/>
              </w:rPr>
              <w:t>1</w:t>
            </w:r>
            <w:r>
              <w:rPr>
                <w:rFonts w:hint="eastAsia"/>
                <w:color w:val="auto"/>
                <w:lang w:eastAsia="zh-CN"/>
              </w:rPr>
              <w:t>、</w:t>
            </w:r>
            <w:r>
              <w:rPr>
                <w:rFonts w:hint="eastAsia"/>
                <w:color w:val="auto"/>
              </w:rPr>
              <w:t>服务端软件</w:t>
            </w:r>
          </w:p>
          <w:p>
            <w:pPr>
              <w:spacing w:line="360" w:lineRule="auto"/>
              <w:jc w:val="left"/>
              <w:rPr>
                <w:color w:val="auto"/>
              </w:rPr>
            </w:pPr>
            <w:r>
              <w:rPr>
                <w:rFonts w:hint="eastAsia"/>
                <w:color w:val="auto"/>
                <w:lang w:val="en-US" w:eastAsia="zh-CN"/>
              </w:rPr>
              <w:t>2、</w:t>
            </w:r>
            <w:r>
              <w:rPr>
                <w:rFonts w:hint="eastAsia"/>
                <w:color w:val="auto"/>
              </w:rPr>
              <w:t>分诊叫号子系统平台</w:t>
            </w:r>
          </w:p>
          <w:p>
            <w:pPr>
              <w:spacing w:line="360" w:lineRule="auto"/>
              <w:jc w:val="left"/>
              <w:rPr>
                <w:color w:val="auto"/>
              </w:rPr>
            </w:pPr>
            <w:r>
              <w:rPr>
                <w:rFonts w:hint="eastAsia"/>
                <w:color w:val="auto"/>
                <w:lang w:val="en-US" w:eastAsia="zh-CN"/>
              </w:rPr>
              <w:t>3、</w:t>
            </w:r>
            <w:r>
              <w:rPr>
                <w:rFonts w:hint="eastAsia"/>
                <w:color w:val="auto"/>
              </w:rPr>
              <w:t>信息宣教子系统平台</w:t>
            </w:r>
          </w:p>
          <w:p>
            <w:pPr>
              <w:spacing w:line="360" w:lineRule="auto"/>
              <w:jc w:val="left"/>
              <w:rPr>
                <w:rFonts w:hint="eastAsia" w:eastAsiaTheme="minorEastAsia"/>
                <w:b/>
                <w:color w:val="auto"/>
                <w:sz w:val="32"/>
                <w:szCs w:val="32"/>
                <w:lang w:val="en-US" w:eastAsia="zh-Hans"/>
              </w:rPr>
            </w:pPr>
            <w:r>
              <w:rPr>
                <w:rFonts w:hint="eastAsia"/>
                <w:b w:val="0"/>
                <w:bCs/>
                <w:color w:val="auto"/>
                <w:sz w:val="21"/>
                <w:szCs w:val="21"/>
                <w:lang w:val="en-US" w:eastAsia="zh-CN"/>
              </w:rPr>
              <w:t>4、</w:t>
            </w:r>
            <w:r>
              <w:rPr>
                <w:rFonts w:hint="eastAsia"/>
                <w:b w:val="0"/>
                <w:bCs/>
                <w:color w:val="auto"/>
                <w:sz w:val="21"/>
                <w:szCs w:val="21"/>
                <w:lang w:val="en-US" w:eastAsia="zh-Hans"/>
              </w:rPr>
              <w:t>病房呼叫系统平台</w:t>
            </w:r>
          </w:p>
        </w:tc>
      </w:tr>
    </w:tbl>
    <w:p>
      <w:pPr>
        <w:numPr>
          <w:ilvl w:val="0"/>
          <w:numId w:val="0"/>
        </w:numPr>
        <w:shd w:val="clear" w:fill="FFFFFF" w:themeFill="background1"/>
        <w:spacing w:line="360" w:lineRule="auto"/>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其它</w:t>
      </w:r>
      <w:r>
        <w:rPr>
          <w:rFonts w:hint="eastAsia" w:ascii="宋体" w:hAnsi="宋体"/>
          <w:b/>
          <w:bCs/>
          <w:color w:val="auto"/>
          <w:sz w:val="28"/>
          <w:szCs w:val="28"/>
          <w:highlight w:val="none"/>
          <w:lang w:val="en-US" w:eastAsia="zh-CN"/>
        </w:rPr>
        <w:t>要求</w:t>
      </w:r>
    </w:p>
    <w:p>
      <w:pPr>
        <w:numPr>
          <w:ilvl w:val="0"/>
          <w:numId w:val="0"/>
        </w:numPr>
        <w:shd w:val="clear" w:fill="FFFFFF" w:themeFill="background1"/>
        <w:spacing w:line="360" w:lineRule="auto"/>
        <w:ind w:firstLine="480" w:firstLineChars="200"/>
        <w:rPr>
          <w:rFonts w:hAnsi="宋体"/>
          <w:color w:val="auto"/>
          <w:sz w:val="24"/>
        </w:rPr>
      </w:pPr>
      <w:r>
        <w:rPr>
          <w:rFonts w:hAnsi="宋体"/>
          <w:color w:val="auto"/>
          <w:sz w:val="24"/>
        </w:rPr>
        <w:t>突发事件要求</w:t>
      </w:r>
      <w:r>
        <w:rPr>
          <w:rFonts w:hint="eastAsia" w:hAnsi="宋体"/>
          <w:color w:val="auto"/>
          <w:sz w:val="24"/>
          <w:lang w:val="en-US" w:eastAsia="zh-Hans"/>
        </w:rPr>
        <w:t>中标方</w:t>
      </w:r>
      <w:r>
        <w:rPr>
          <w:rFonts w:hAnsi="宋体"/>
          <w:color w:val="auto"/>
          <w:sz w:val="24"/>
        </w:rPr>
        <w:t>的相关工程师现场待命。</w:t>
      </w:r>
    </w:p>
    <w:p/>
    <w:p>
      <w:pPr>
        <w:pStyle w:val="2"/>
      </w:pPr>
    </w:p>
    <w:p/>
    <w:p>
      <w:pPr>
        <w:pStyle w:val="2"/>
      </w:pPr>
    </w:p>
    <w:p/>
    <w:p>
      <w:pPr>
        <w:pStyle w:val="2"/>
      </w:pPr>
    </w:p>
    <w:p/>
    <w:p>
      <w:pPr>
        <w:pStyle w:val="2"/>
        <w:jc w:val="both"/>
        <w:rPr>
          <w:rFonts w:hint="eastAsia"/>
          <w:b/>
          <w:bCs/>
          <w:sz w:val="28"/>
          <w:szCs w:val="28"/>
          <w:lang w:val="en-US" w:eastAsia="zh-CN"/>
        </w:rPr>
      </w:pPr>
    </w:p>
    <w:p>
      <w:pPr>
        <w:rPr>
          <w:rFonts w:hint="eastAsia"/>
          <w:b/>
          <w:bCs/>
          <w:sz w:val="28"/>
          <w:szCs w:val="28"/>
          <w:lang w:val="en-US" w:eastAsia="zh-CN"/>
        </w:rPr>
      </w:pPr>
    </w:p>
    <w:p>
      <w:pPr>
        <w:rPr>
          <w:rFonts w:hint="eastAsia"/>
          <w:lang w:val="en-US" w:eastAsia="zh-CN"/>
        </w:rPr>
      </w:pPr>
    </w:p>
    <w:p>
      <w:pPr>
        <w:rPr>
          <w:rFonts w:hint="default"/>
          <w:b/>
          <w:bCs/>
          <w:sz w:val="28"/>
          <w:szCs w:val="28"/>
          <w:lang w:val="en-US" w:eastAsia="zh-CN"/>
        </w:rPr>
      </w:pPr>
      <w:r>
        <w:rPr>
          <w:rFonts w:hint="eastAsia"/>
          <w:b/>
          <w:bCs/>
          <w:sz w:val="28"/>
          <w:szCs w:val="28"/>
          <w:lang w:val="en-US" w:eastAsia="zh-CN"/>
        </w:rPr>
        <w:t>七、附件</w:t>
      </w:r>
    </w:p>
    <w:p>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1、</w:t>
      </w:r>
      <w:r>
        <w:rPr>
          <w:rFonts w:hint="eastAsia" w:ascii="宋体" w:hAnsi="宋体" w:eastAsia="宋体" w:cs="宋体"/>
          <w:sz w:val="24"/>
          <w:szCs w:val="24"/>
        </w:rPr>
        <w:t>技术评分：</w:t>
      </w:r>
      <w:r>
        <w:rPr>
          <w:rFonts w:hint="eastAsia" w:ascii="宋体" w:hAnsi="宋体" w:eastAsia="宋体" w:cs="宋体"/>
          <w:sz w:val="24"/>
          <w:szCs w:val="24"/>
          <w:lang w:val="en-US" w:eastAsia="zh-CN"/>
        </w:rPr>
        <w:t>满分</w:t>
      </w:r>
      <w:r>
        <w:rPr>
          <w:rFonts w:hint="eastAsia" w:ascii="宋体" w:hAnsi="宋体" w:eastAsia="宋体" w:cs="宋体"/>
          <w:sz w:val="24"/>
          <w:szCs w:val="24"/>
        </w:rPr>
        <w:t>70分</w:t>
      </w:r>
    </w:p>
    <w:tbl>
      <w:tblPr>
        <w:tblStyle w:val="7"/>
        <w:tblW w:w="8420" w:type="dxa"/>
        <w:tblInd w:w="19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0"/>
        <w:gridCol w:w="1698"/>
        <w:gridCol w:w="1015"/>
        <w:gridCol w:w="49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790" w:type="dxa"/>
            <w:vAlign w:val="center"/>
          </w:tcPr>
          <w:p>
            <w:pPr>
              <w:spacing w:line="360" w:lineRule="auto"/>
              <w:jc w:val="center"/>
              <w:rPr>
                <w:sz w:val="24"/>
                <w:szCs w:val="24"/>
              </w:rPr>
            </w:pPr>
            <w:r>
              <w:rPr>
                <w:rFonts w:hint="eastAsia"/>
                <w:sz w:val="24"/>
                <w:szCs w:val="24"/>
              </w:rPr>
              <w:t>序号</w:t>
            </w:r>
          </w:p>
        </w:tc>
        <w:tc>
          <w:tcPr>
            <w:tcW w:w="1698" w:type="dxa"/>
            <w:vAlign w:val="center"/>
          </w:tcPr>
          <w:p>
            <w:pPr>
              <w:spacing w:line="360" w:lineRule="auto"/>
              <w:jc w:val="center"/>
              <w:rPr>
                <w:sz w:val="24"/>
                <w:szCs w:val="24"/>
              </w:rPr>
            </w:pPr>
            <w:r>
              <w:rPr>
                <w:rFonts w:hint="eastAsia"/>
                <w:sz w:val="24"/>
                <w:szCs w:val="24"/>
              </w:rPr>
              <w:t>评分内容</w:t>
            </w:r>
          </w:p>
        </w:tc>
        <w:tc>
          <w:tcPr>
            <w:tcW w:w="1015" w:type="dxa"/>
            <w:vAlign w:val="center"/>
          </w:tcPr>
          <w:p>
            <w:pPr>
              <w:spacing w:line="360" w:lineRule="auto"/>
              <w:jc w:val="center"/>
              <w:rPr>
                <w:sz w:val="24"/>
                <w:szCs w:val="24"/>
              </w:rPr>
            </w:pPr>
            <w:r>
              <w:rPr>
                <w:rFonts w:hint="eastAsia"/>
                <w:sz w:val="24"/>
                <w:szCs w:val="24"/>
              </w:rPr>
              <w:t>分数值</w:t>
            </w:r>
          </w:p>
        </w:tc>
        <w:tc>
          <w:tcPr>
            <w:tcW w:w="4917" w:type="dxa"/>
            <w:vAlign w:val="center"/>
          </w:tcPr>
          <w:p>
            <w:pPr>
              <w:spacing w:line="360" w:lineRule="auto"/>
              <w:jc w:val="center"/>
              <w:rPr>
                <w:sz w:val="24"/>
                <w:szCs w:val="24"/>
              </w:rPr>
            </w:pPr>
            <w:r>
              <w:rPr>
                <w:rFonts w:hint="eastAsia"/>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90" w:type="dxa"/>
            <w:vAlign w:val="center"/>
          </w:tcPr>
          <w:p>
            <w:pPr>
              <w:spacing w:line="360" w:lineRule="auto"/>
              <w:jc w:val="center"/>
              <w:rPr>
                <w:sz w:val="24"/>
                <w:szCs w:val="24"/>
              </w:rPr>
            </w:pPr>
            <w:r>
              <w:rPr>
                <w:rFonts w:hint="eastAsia"/>
                <w:sz w:val="24"/>
                <w:szCs w:val="24"/>
              </w:rPr>
              <w:t>1</w:t>
            </w:r>
          </w:p>
        </w:tc>
        <w:tc>
          <w:tcPr>
            <w:tcW w:w="1698" w:type="dxa"/>
            <w:shd w:val="clear" w:color="auto" w:fill="FFFFFF" w:themeFill="background1"/>
            <w:vAlign w:val="center"/>
          </w:tcPr>
          <w:p>
            <w:pPr>
              <w:spacing w:line="360" w:lineRule="auto"/>
              <w:jc w:val="center"/>
              <w:rPr>
                <w:sz w:val="24"/>
                <w:szCs w:val="24"/>
              </w:rPr>
            </w:pPr>
            <w:r>
              <w:rPr>
                <w:rFonts w:hint="eastAsia"/>
                <w:sz w:val="24"/>
                <w:szCs w:val="24"/>
              </w:rPr>
              <w:t>投标人情况</w:t>
            </w:r>
          </w:p>
        </w:tc>
        <w:tc>
          <w:tcPr>
            <w:tcW w:w="1015" w:type="dxa"/>
            <w:shd w:val="clear" w:color="auto" w:fill="FFFFFF" w:themeFill="background1"/>
            <w:vAlign w:val="center"/>
          </w:tcPr>
          <w:p>
            <w:pPr>
              <w:spacing w:line="360" w:lineRule="auto"/>
              <w:jc w:val="center"/>
              <w:rPr>
                <w:sz w:val="24"/>
                <w:szCs w:val="24"/>
              </w:rPr>
            </w:pPr>
            <w:r>
              <w:rPr>
                <w:rFonts w:hint="default"/>
                <w:sz w:val="24"/>
                <w:szCs w:val="24"/>
              </w:rPr>
              <w:t>2</w:t>
            </w:r>
            <w:r>
              <w:rPr>
                <w:rFonts w:hint="eastAsia"/>
                <w:sz w:val="24"/>
                <w:szCs w:val="24"/>
              </w:rPr>
              <w:t>分</w:t>
            </w:r>
          </w:p>
        </w:tc>
        <w:tc>
          <w:tcPr>
            <w:tcW w:w="4917" w:type="dxa"/>
            <w:shd w:val="clear" w:color="auto" w:fill="FFFFFF" w:themeFill="background1"/>
            <w:vAlign w:val="center"/>
          </w:tcPr>
          <w:p>
            <w:pPr>
              <w:spacing w:line="360" w:lineRule="auto"/>
              <w:jc w:val="left"/>
              <w:rPr>
                <w:rFonts w:hint="eastAsia"/>
                <w:sz w:val="24"/>
                <w:szCs w:val="24"/>
                <w:lang w:eastAsia="zh-CN"/>
              </w:rPr>
            </w:pPr>
            <w:r>
              <w:rPr>
                <w:rFonts w:hint="eastAsia"/>
                <w:sz w:val="24"/>
                <w:szCs w:val="24"/>
              </w:rPr>
              <w:t>根据投标人信誉、资质等情况</w:t>
            </w:r>
            <w:r>
              <w:rPr>
                <w:rFonts w:hint="eastAsia"/>
                <w:sz w:val="24"/>
                <w:szCs w:val="24"/>
                <w:lang w:eastAsia="zh-CN"/>
              </w:rPr>
              <w:t>：</w:t>
            </w:r>
          </w:p>
          <w:p>
            <w:pPr>
              <w:spacing w:line="360" w:lineRule="auto"/>
              <w:jc w:val="left"/>
              <w:rPr>
                <w:rFonts w:hint="default"/>
                <w:sz w:val="24"/>
                <w:szCs w:val="24"/>
                <w:lang w:val="en-US" w:eastAsia="zh-CN"/>
              </w:rPr>
            </w:pPr>
            <w:r>
              <w:rPr>
                <w:rFonts w:hint="eastAsia"/>
                <w:sz w:val="24"/>
                <w:szCs w:val="24"/>
              </w:rPr>
              <w:t>投标人</w:t>
            </w:r>
            <w:r>
              <w:rPr>
                <w:rFonts w:hint="eastAsia"/>
                <w:sz w:val="24"/>
                <w:szCs w:val="24"/>
                <w:lang w:eastAsia="zh-Hans"/>
              </w:rPr>
              <w:t>获得</w:t>
            </w:r>
            <w:r>
              <w:rPr>
                <w:rFonts w:hint="eastAsia"/>
                <w:sz w:val="24"/>
                <w:szCs w:val="24"/>
              </w:rPr>
              <w:t>有效的省级或以上科技型中小企业证书</w:t>
            </w:r>
            <w:r>
              <w:rPr>
                <w:rFonts w:hint="eastAsia"/>
                <w:sz w:val="24"/>
                <w:szCs w:val="24"/>
                <w:lang w:val="en-US" w:eastAsia="zh-CN"/>
              </w:rPr>
              <w:t>的得</w:t>
            </w:r>
            <w:r>
              <w:rPr>
                <w:rFonts w:hint="default"/>
                <w:sz w:val="24"/>
                <w:szCs w:val="24"/>
                <w:lang w:eastAsia="zh-CN"/>
              </w:rPr>
              <w:t>1</w:t>
            </w:r>
            <w:r>
              <w:rPr>
                <w:rFonts w:hint="eastAsia"/>
                <w:sz w:val="24"/>
                <w:szCs w:val="24"/>
                <w:lang w:val="en-US" w:eastAsia="zh-CN"/>
              </w:rPr>
              <w:t>分；</w:t>
            </w:r>
            <w:r>
              <w:rPr>
                <w:rFonts w:hint="eastAsia"/>
                <w:sz w:val="24"/>
                <w:szCs w:val="24"/>
              </w:rPr>
              <w:t>投标人具备有效的质量管理体系认证证书</w:t>
            </w:r>
            <w:r>
              <w:rPr>
                <w:rFonts w:hint="eastAsia"/>
                <w:sz w:val="24"/>
                <w:szCs w:val="24"/>
                <w:lang w:val="en-US" w:eastAsia="zh-CN"/>
              </w:rPr>
              <w:t>的得</w:t>
            </w:r>
            <w:r>
              <w:rPr>
                <w:rFonts w:hint="default"/>
                <w:sz w:val="24"/>
                <w:szCs w:val="24"/>
                <w:lang w:eastAsia="zh-CN"/>
              </w:rPr>
              <w:t>1</w:t>
            </w:r>
            <w:r>
              <w:rPr>
                <w:rFonts w:hint="eastAsia"/>
                <w:sz w:val="24"/>
                <w:szCs w:val="24"/>
                <w:lang w:val="en-US" w:eastAsia="zh-CN"/>
              </w:rPr>
              <w:t>分。（注：需提供相关证书复印件并加盖公章，否则不得分）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90" w:type="dxa"/>
            <w:vAlign w:val="center"/>
          </w:tcPr>
          <w:p>
            <w:pPr>
              <w:spacing w:line="360" w:lineRule="auto"/>
              <w:jc w:val="center"/>
              <w:rPr>
                <w:sz w:val="24"/>
                <w:szCs w:val="24"/>
              </w:rPr>
            </w:pPr>
            <w:r>
              <w:rPr>
                <w:rFonts w:hint="eastAsia"/>
                <w:sz w:val="24"/>
                <w:szCs w:val="24"/>
              </w:rPr>
              <w:t>2</w:t>
            </w:r>
          </w:p>
        </w:tc>
        <w:tc>
          <w:tcPr>
            <w:tcW w:w="1698" w:type="dxa"/>
            <w:shd w:val="clear" w:color="auto" w:fill="FFFFFF" w:themeFill="background1"/>
            <w:vAlign w:val="center"/>
          </w:tcPr>
          <w:p>
            <w:pPr>
              <w:spacing w:line="360" w:lineRule="auto"/>
              <w:jc w:val="center"/>
              <w:rPr>
                <w:rFonts w:hint="eastAsia" w:eastAsiaTheme="minorEastAsia"/>
                <w:sz w:val="24"/>
                <w:szCs w:val="24"/>
                <w:lang w:eastAsia="zh-CN"/>
              </w:rPr>
            </w:pPr>
            <w:r>
              <w:rPr>
                <w:rFonts w:hint="eastAsia"/>
                <w:sz w:val="24"/>
                <w:szCs w:val="24"/>
                <w:lang w:val="zh-CN"/>
              </w:rPr>
              <w:t>维护服务</w:t>
            </w:r>
            <w:r>
              <w:rPr>
                <w:rFonts w:hint="eastAsia"/>
                <w:sz w:val="24"/>
                <w:szCs w:val="24"/>
                <w:lang w:val="en-US" w:eastAsia="zh-CN"/>
              </w:rPr>
              <w:t>方案</w:t>
            </w:r>
          </w:p>
        </w:tc>
        <w:tc>
          <w:tcPr>
            <w:tcW w:w="1015" w:type="dxa"/>
            <w:shd w:val="clear" w:color="auto" w:fill="FFFFFF" w:themeFill="background1"/>
            <w:vAlign w:val="center"/>
          </w:tcPr>
          <w:p>
            <w:pPr>
              <w:spacing w:line="360" w:lineRule="auto"/>
              <w:jc w:val="center"/>
              <w:rPr>
                <w:sz w:val="24"/>
                <w:szCs w:val="24"/>
              </w:rPr>
            </w:pPr>
            <w:r>
              <w:rPr>
                <w:rFonts w:hint="eastAsia"/>
                <w:sz w:val="24"/>
                <w:szCs w:val="24"/>
                <w:lang w:val="en-US" w:eastAsia="zh-CN"/>
              </w:rPr>
              <w:t>36</w:t>
            </w:r>
            <w:r>
              <w:rPr>
                <w:rFonts w:hint="eastAsia"/>
                <w:sz w:val="24"/>
                <w:szCs w:val="24"/>
              </w:rPr>
              <w:t>分</w:t>
            </w:r>
          </w:p>
        </w:tc>
        <w:tc>
          <w:tcPr>
            <w:tcW w:w="4917" w:type="dxa"/>
            <w:shd w:val="clear" w:color="auto" w:fill="FFFFFF" w:themeFill="background1"/>
            <w:vAlign w:val="center"/>
          </w:tcPr>
          <w:p>
            <w:pPr>
              <w:spacing w:line="360" w:lineRule="auto"/>
              <w:rPr>
                <w:rFonts w:hint="eastAsia" w:eastAsiaTheme="minorEastAsia"/>
                <w:sz w:val="24"/>
                <w:szCs w:val="24"/>
                <w:lang w:val="en-US" w:eastAsia="zh-CN"/>
              </w:rPr>
            </w:pPr>
            <w:r>
              <w:rPr>
                <w:rFonts w:hint="eastAsia"/>
                <w:sz w:val="24"/>
                <w:szCs w:val="24"/>
              </w:rPr>
              <w:t>根据</w:t>
            </w:r>
            <w:r>
              <w:rPr>
                <w:rFonts w:hint="eastAsia"/>
                <w:sz w:val="24"/>
                <w:szCs w:val="24"/>
                <w:lang w:val="en-US" w:eastAsia="zh-CN"/>
              </w:rPr>
              <w:t>对</w:t>
            </w:r>
            <w:r>
              <w:rPr>
                <w:rFonts w:hint="eastAsia"/>
                <w:b w:val="0"/>
                <w:bCs w:val="0"/>
                <w:sz w:val="24"/>
                <w:szCs w:val="24"/>
                <w:lang w:eastAsia="zh-CN"/>
              </w:rPr>
              <w:t>“</w:t>
            </w:r>
            <w:r>
              <w:rPr>
                <w:rFonts w:hint="eastAsia"/>
                <w:b w:val="0"/>
                <w:bCs w:val="0"/>
                <w:sz w:val="24"/>
                <w:szCs w:val="24"/>
                <w:lang w:val="en-US" w:eastAsia="zh-CN"/>
              </w:rPr>
              <w:t>四、</w:t>
            </w:r>
            <w:r>
              <w:rPr>
                <w:rFonts w:hint="eastAsia" w:ascii="宋体" w:hAnsi="宋体"/>
                <w:b w:val="0"/>
                <w:bCs w:val="0"/>
                <w:color w:val="auto"/>
                <w:sz w:val="24"/>
                <w:szCs w:val="24"/>
                <w:highlight w:val="none"/>
              </w:rPr>
              <w:t>维护要求</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的响应情况</w:t>
            </w:r>
            <w:r>
              <w:rPr>
                <w:rFonts w:hint="eastAsia"/>
                <w:sz w:val="24"/>
                <w:szCs w:val="24"/>
                <w:lang w:val="en-US" w:eastAsia="zh-Hans"/>
              </w:rPr>
              <w:t>进行</w:t>
            </w:r>
            <w:r>
              <w:rPr>
                <w:rFonts w:hint="eastAsia"/>
                <w:sz w:val="24"/>
                <w:szCs w:val="24"/>
                <w:lang w:val="en-US" w:eastAsia="zh-CN"/>
              </w:rPr>
              <w:t>综合比较评定</w:t>
            </w:r>
            <w:r>
              <w:rPr>
                <w:rFonts w:hint="eastAsia"/>
                <w:sz w:val="24"/>
                <w:szCs w:val="24"/>
                <w:lang w:val="en-US" w:eastAsia="zh-Hans"/>
              </w:rPr>
              <w:t>，最高</w:t>
            </w:r>
            <w:r>
              <w:rPr>
                <w:rFonts w:hint="eastAsia"/>
                <w:sz w:val="24"/>
                <w:szCs w:val="24"/>
                <w:lang w:val="en-US" w:eastAsia="zh-CN"/>
              </w:rPr>
              <w:t>36</w:t>
            </w:r>
            <w:r>
              <w:rPr>
                <w:rFonts w:hint="eastAsia"/>
                <w:sz w:val="24"/>
                <w:szCs w:val="24"/>
                <w:lang w:val="en-US" w:eastAsia="zh-Hans"/>
              </w:rPr>
              <w:t>分</w:t>
            </w:r>
            <w:r>
              <w:rPr>
                <w:rFonts w:hint="eastAsia"/>
                <w:sz w:val="24"/>
                <w:szCs w:val="24"/>
                <w:lang w:val="en-US" w:eastAsia="zh-CN"/>
              </w:rPr>
              <w:t>。</w:t>
            </w:r>
          </w:p>
          <w:p>
            <w:pPr>
              <w:spacing w:line="360" w:lineRule="auto"/>
              <w:rPr>
                <w:rFonts w:hint="default" w:eastAsia="黑体"/>
                <w:sz w:val="24"/>
                <w:szCs w:val="24"/>
                <w:lang w:val="en-US" w:eastAsia="zh-CN"/>
              </w:rPr>
            </w:pPr>
            <w:r>
              <w:rPr>
                <w:rFonts w:hint="eastAsia"/>
                <w:sz w:val="24"/>
                <w:szCs w:val="24"/>
                <w:lang w:val="en-US" w:eastAsia="zh-CN"/>
              </w:rPr>
              <w:t>A档27-36分；B档17-26分；C档6-16分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90" w:type="dxa"/>
            <w:vAlign w:val="center"/>
          </w:tcPr>
          <w:p>
            <w:pPr>
              <w:spacing w:line="360" w:lineRule="auto"/>
              <w:jc w:val="center"/>
              <w:rPr>
                <w:rFonts w:hint="eastAsia" w:eastAsiaTheme="minorEastAsia"/>
                <w:sz w:val="24"/>
                <w:szCs w:val="24"/>
                <w:lang w:eastAsia="zh-CN"/>
              </w:rPr>
            </w:pPr>
            <w:r>
              <w:rPr>
                <w:rFonts w:hint="eastAsia"/>
                <w:sz w:val="24"/>
                <w:szCs w:val="24"/>
                <w:lang w:val="en-US" w:eastAsia="zh-CN"/>
              </w:rPr>
              <w:t>3</w:t>
            </w:r>
          </w:p>
        </w:tc>
        <w:tc>
          <w:tcPr>
            <w:tcW w:w="1698" w:type="dxa"/>
            <w:shd w:val="clear" w:color="auto" w:fill="FFFFFF" w:themeFill="background1"/>
            <w:vAlign w:val="center"/>
          </w:tcPr>
          <w:p>
            <w:pPr>
              <w:spacing w:line="360" w:lineRule="auto"/>
              <w:jc w:val="center"/>
              <w:rPr>
                <w:sz w:val="24"/>
                <w:szCs w:val="24"/>
              </w:rPr>
            </w:pPr>
            <w:r>
              <w:rPr>
                <w:rFonts w:hint="eastAsia"/>
                <w:sz w:val="24"/>
                <w:szCs w:val="24"/>
                <w:lang w:val="zh-CN"/>
              </w:rPr>
              <w:t>维修巡检方案</w:t>
            </w:r>
          </w:p>
        </w:tc>
        <w:tc>
          <w:tcPr>
            <w:tcW w:w="1015" w:type="dxa"/>
            <w:shd w:val="clear" w:color="auto" w:fill="FFFFFF" w:themeFill="background1"/>
            <w:vAlign w:val="center"/>
          </w:tcPr>
          <w:p>
            <w:pPr>
              <w:spacing w:line="360" w:lineRule="auto"/>
              <w:jc w:val="center"/>
              <w:rPr>
                <w:sz w:val="24"/>
                <w:szCs w:val="24"/>
              </w:rPr>
            </w:pPr>
            <w:r>
              <w:rPr>
                <w:rFonts w:hint="eastAsia"/>
                <w:sz w:val="24"/>
                <w:szCs w:val="24"/>
                <w:lang w:val="en-US" w:eastAsia="zh-CN"/>
              </w:rPr>
              <w:t>12</w:t>
            </w:r>
            <w:r>
              <w:rPr>
                <w:rFonts w:hint="eastAsia"/>
                <w:sz w:val="24"/>
                <w:szCs w:val="24"/>
              </w:rPr>
              <w:t>分</w:t>
            </w:r>
          </w:p>
        </w:tc>
        <w:tc>
          <w:tcPr>
            <w:tcW w:w="4917" w:type="dxa"/>
            <w:shd w:val="clear" w:color="auto" w:fill="FFFFFF" w:themeFill="background1"/>
            <w:vAlign w:val="center"/>
          </w:tcPr>
          <w:p>
            <w:pPr>
              <w:spacing w:line="360" w:lineRule="auto"/>
              <w:rPr>
                <w:rFonts w:hint="eastAsia"/>
                <w:sz w:val="24"/>
                <w:szCs w:val="24"/>
                <w:lang w:val="zh-CN"/>
              </w:rPr>
            </w:pPr>
            <w:r>
              <w:rPr>
                <w:rFonts w:hint="eastAsia"/>
                <w:sz w:val="24"/>
                <w:szCs w:val="24"/>
                <w:lang w:val="zh-CN"/>
              </w:rPr>
              <w:t>评标委员会根据</w:t>
            </w:r>
            <w:r>
              <w:rPr>
                <w:rFonts w:hint="eastAsia"/>
                <w:sz w:val="24"/>
                <w:szCs w:val="24"/>
                <w:lang w:val="en-US" w:eastAsia="zh-CN"/>
              </w:rPr>
              <w:t>提供的</w:t>
            </w:r>
            <w:r>
              <w:rPr>
                <w:rFonts w:hint="eastAsia"/>
                <w:sz w:val="24"/>
                <w:szCs w:val="24"/>
                <w:lang w:val="zh-CN"/>
              </w:rPr>
              <w:t>维修巡检方案的及时性、实用性、可行性比较打分。</w:t>
            </w:r>
          </w:p>
          <w:p>
            <w:r>
              <w:rPr>
                <w:rFonts w:hint="eastAsia"/>
                <w:sz w:val="24"/>
                <w:szCs w:val="24"/>
                <w:lang w:val="en-US" w:eastAsia="zh-CN"/>
              </w:rPr>
              <w:t>A档9-12分；B档5-8分；C档1-4分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90" w:type="dxa"/>
            <w:vAlign w:val="center"/>
          </w:tcPr>
          <w:p>
            <w:pPr>
              <w:spacing w:line="360" w:lineRule="auto"/>
              <w:jc w:val="center"/>
              <w:rPr>
                <w:rFonts w:hint="eastAsia" w:eastAsiaTheme="minorEastAsia"/>
                <w:sz w:val="24"/>
                <w:szCs w:val="24"/>
                <w:lang w:eastAsia="zh-CN"/>
              </w:rPr>
            </w:pPr>
            <w:r>
              <w:rPr>
                <w:rFonts w:hint="eastAsia"/>
                <w:sz w:val="24"/>
                <w:szCs w:val="24"/>
                <w:lang w:val="en-US" w:eastAsia="zh-CN"/>
              </w:rPr>
              <w:t>4</w:t>
            </w:r>
          </w:p>
        </w:tc>
        <w:tc>
          <w:tcPr>
            <w:tcW w:w="1698" w:type="dxa"/>
            <w:shd w:val="clear" w:color="auto" w:fill="FFFFFF" w:themeFill="background1"/>
            <w:vAlign w:val="center"/>
          </w:tcPr>
          <w:p>
            <w:pPr>
              <w:spacing w:line="360" w:lineRule="auto"/>
              <w:jc w:val="center"/>
              <w:rPr>
                <w:sz w:val="24"/>
                <w:szCs w:val="24"/>
              </w:rPr>
            </w:pPr>
            <w:r>
              <w:rPr>
                <w:rFonts w:hint="eastAsia"/>
                <w:sz w:val="24"/>
                <w:szCs w:val="24"/>
                <w:lang w:val="zh-CN"/>
              </w:rPr>
              <w:t>应急预案</w:t>
            </w:r>
          </w:p>
        </w:tc>
        <w:tc>
          <w:tcPr>
            <w:tcW w:w="1015" w:type="dxa"/>
            <w:shd w:val="clear" w:color="auto" w:fill="FFFFFF" w:themeFill="background1"/>
            <w:vAlign w:val="center"/>
          </w:tcPr>
          <w:p>
            <w:pPr>
              <w:spacing w:line="360" w:lineRule="auto"/>
              <w:jc w:val="center"/>
              <w:rPr>
                <w:sz w:val="24"/>
                <w:szCs w:val="24"/>
              </w:rPr>
            </w:pPr>
            <w:r>
              <w:rPr>
                <w:rFonts w:hint="default"/>
                <w:sz w:val="24"/>
                <w:szCs w:val="24"/>
                <w:lang w:eastAsia="zh-CN"/>
              </w:rPr>
              <w:t>2</w:t>
            </w:r>
            <w:r>
              <w:rPr>
                <w:rFonts w:hint="eastAsia"/>
                <w:sz w:val="24"/>
                <w:szCs w:val="24"/>
              </w:rPr>
              <w:t>分</w:t>
            </w:r>
          </w:p>
        </w:tc>
        <w:tc>
          <w:tcPr>
            <w:tcW w:w="4917" w:type="dxa"/>
            <w:shd w:val="clear" w:color="auto" w:fill="FFFFFF" w:themeFill="background1"/>
            <w:vAlign w:val="center"/>
          </w:tcPr>
          <w:p>
            <w:pPr>
              <w:spacing w:line="360" w:lineRule="auto"/>
              <w:rPr>
                <w:rFonts w:hint="eastAsia"/>
                <w:sz w:val="24"/>
                <w:szCs w:val="24"/>
                <w:lang w:val="zh-CN"/>
              </w:rPr>
            </w:pPr>
            <w:r>
              <w:rPr>
                <w:rFonts w:hint="eastAsia"/>
                <w:sz w:val="24"/>
                <w:szCs w:val="24"/>
                <w:lang w:val="zh-CN"/>
              </w:rPr>
              <w:t>供应商提供的针对本项目可能出现突发事件的应急预案是否合理比较打分。</w:t>
            </w:r>
          </w:p>
          <w:p>
            <w:r>
              <w:rPr>
                <w:rFonts w:hint="eastAsia"/>
                <w:sz w:val="24"/>
                <w:szCs w:val="24"/>
              </w:rPr>
              <w:t>A档</w:t>
            </w:r>
            <w:r>
              <w:rPr>
                <w:rFonts w:hint="eastAsia"/>
                <w:sz w:val="24"/>
                <w:szCs w:val="24"/>
                <w:lang w:val="en-US" w:eastAsia="zh-CN"/>
              </w:rPr>
              <w:t>2</w:t>
            </w:r>
            <w:r>
              <w:rPr>
                <w:rFonts w:hint="eastAsia"/>
                <w:sz w:val="24"/>
                <w:szCs w:val="24"/>
              </w:rPr>
              <w:t>分；B档</w:t>
            </w:r>
            <w:r>
              <w:rPr>
                <w:rFonts w:hint="eastAsia"/>
                <w:sz w:val="24"/>
                <w:szCs w:val="24"/>
                <w:lang w:val="en-US" w:eastAsia="zh-CN"/>
              </w:rPr>
              <w:t>1</w:t>
            </w:r>
            <w:r>
              <w:rPr>
                <w:rFonts w:hint="eastAsia"/>
                <w:sz w:val="24"/>
                <w:szCs w:val="24"/>
              </w:rPr>
              <w:t>分；C档</w:t>
            </w:r>
            <w:r>
              <w:rPr>
                <w:rFonts w:hint="eastAsia"/>
                <w:sz w:val="24"/>
                <w:szCs w:val="24"/>
                <w:lang w:val="en-US" w:eastAsia="zh-CN"/>
              </w:rPr>
              <w:t>0</w:t>
            </w:r>
            <w:r>
              <w:rPr>
                <w:rFonts w:hint="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9" w:hRule="atLeast"/>
        </w:trPr>
        <w:tc>
          <w:tcPr>
            <w:tcW w:w="790" w:type="dxa"/>
            <w:vAlign w:val="center"/>
          </w:tcPr>
          <w:p>
            <w:pPr>
              <w:spacing w:line="360" w:lineRule="auto"/>
              <w:jc w:val="center"/>
              <w:rPr>
                <w:sz w:val="24"/>
                <w:szCs w:val="24"/>
              </w:rPr>
            </w:pPr>
            <w:r>
              <w:rPr>
                <w:rFonts w:hint="eastAsia"/>
                <w:sz w:val="24"/>
                <w:szCs w:val="24"/>
                <w:lang w:val="en-US" w:eastAsia="zh-CN"/>
              </w:rPr>
              <w:t>5</w:t>
            </w:r>
          </w:p>
        </w:tc>
        <w:tc>
          <w:tcPr>
            <w:tcW w:w="1698" w:type="dxa"/>
            <w:shd w:val="clear" w:color="auto" w:fill="FFFFFF" w:themeFill="background1"/>
            <w:vAlign w:val="center"/>
          </w:tcPr>
          <w:p>
            <w:pPr>
              <w:spacing w:line="360" w:lineRule="auto"/>
              <w:jc w:val="center"/>
              <w:rPr>
                <w:rFonts w:hint="eastAsia"/>
                <w:sz w:val="24"/>
                <w:szCs w:val="24"/>
              </w:rPr>
            </w:pPr>
            <w:r>
              <w:rPr>
                <w:rFonts w:hint="eastAsia"/>
                <w:sz w:val="24"/>
                <w:szCs w:val="24"/>
              </w:rPr>
              <w:t>技术力量</w:t>
            </w:r>
          </w:p>
        </w:tc>
        <w:tc>
          <w:tcPr>
            <w:tcW w:w="1015" w:type="dxa"/>
            <w:shd w:val="clear" w:color="auto" w:fill="FFFFFF" w:themeFill="background1"/>
            <w:vAlign w:val="center"/>
          </w:tcPr>
          <w:p>
            <w:pPr>
              <w:spacing w:line="360" w:lineRule="auto"/>
              <w:jc w:val="center"/>
              <w:rPr>
                <w:sz w:val="24"/>
                <w:szCs w:val="24"/>
              </w:rPr>
            </w:pPr>
            <w:r>
              <w:rPr>
                <w:rFonts w:hint="default"/>
                <w:sz w:val="24"/>
                <w:szCs w:val="24"/>
              </w:rPr>
              <w:t>6</w:t>
            </w:r>
            <w:r>
              <w:rPr>
                <w:rFonts w:hint="eastAsia"/>
                <w:sz w:val="24"/>
                <w:szCs w:val="24"/>
              </w:rPr>
              <w:t>分</w:t>
            </w:r>
          </w:p>
        </w:tc>
        <w:tc>
          <w:tcPr>
            <w:tcW w:w="4917" w:type="dxa"/>
            <w:shd w:val="clear" w:color="auto" w:fill="FFFFFF" w:themeFill="background1"/>
            <w:vAlign w:val="center"/>
          </w:tcPr>
          <w:p>
            <w:pPr>
              <w:bidi w:val="0"/>
              <w:spacing w:line="360" w:lineRule="auto"/>
              <w:rPr>
                <w:rFonts w:hint="eastAsia"/>
                <w:sz w:val="24"/>
                <w:szCs w:val="24"/>
                <w:lang w:val="en-US" w:eastAsia="zh-CN"/>
              </w:rPr>
            </w:pPr>
            <w:r>
              <w:rPr>
                <w:rFonts w:hint="eastAsia"/>
                <w:sz w:val="24"/>
                <w:szCs w:val="24"/>
                <w:lang w:val="en-US" w:eastAsia="zh-CN"/>
              </w:rPr>
              <w:t>项目经理认证获得ITSS（信息技术服务标准）证书的</w:t>
            </w:r>
            <w:r>
              <w:rPr>
                <w:rFonts w:hint="eastAsia"/>
                <w:sz w:val="24"/>
                <w:szCs w:val="24"/>
                <w:lang w:val="en-US" w:eastAsia="zh-Hans"/>
              </w:rPr>
              <w:t>得</w:t>
            </w:r>
            <w:r>
              <w:rPr>
                <w:rFonts w:hint="default"/>
                <w:sz w:val="24"/>
                <w:szCs w:val="24"/>
                <w:lang w:eastAsia="zh-Hans"/>
              </w:rPr>
              <w:t>3</w:t>
            </w:r>
            <w:r>
              <w:rPr>
                <w:rFonts w:hint="eastAsia"/>
                <w:sz w:val="24"/>
                <w:szCs w:val="24"/>
                <w:lang w:val="en-US" w:eastAsia="zh-Hans"/>
              </w:rPr>
              <w:t>分</w:t>
            </w:r>
            <w:r>
              <w:rPr>
                <w:rFonts w:hint="eastAsia"/>
                <w:sz w:val="24"/>
                <w:szCs w:val="24"/>
                <w:lang w:val="en-US" w:eastAsia="zh-CN"/>
              </w:rPr>
              <w:t>；</w:t>
            </w:r>
          </w:p>
          <w:p>
            <w:pPr>
              <w:bidi w:val="0"/>
              <w:spacing w:line="360" w:lineRule="auto"/>
              <w:rPr>
                <w:rFonts w:hint="eastAsia"/>
                <w:sz w:val="24"/>
                <w:szCs w:val="24"/>
                <w:lang w:val="en-US" w:eastAsia="zh-CN"/>
              </w:rPr>
            </w:pPr>
            <w:r>
              <w:rPr>
                <w:rFonts w:hint="eastAsia"/>
                <w:sz w:val="24"/>
                <w:szCs w:val="24"/>
                <w:lang w:val="en-US" w:eastAsia="zh-CN"/>
              </w:rPr>
              <w:t>服务工程师认证获得ITSS（信息技术服务标准）证书的</w:t>
            </w:r>
            <w:r>
              <w:rPr>
                <w:rFonts w:hint="eastAsia"/>
                <w:sz w:val="24"/>
                <w:szCs w:val="24"/>
                <w:lang w:val="en-US" w:eastAsia="zh-Hans"/>
              </w:rPr>
              <w:t>得</w:t>
            </w:r>
            <w:r>
              <w:rPr>
                <w:rFonts w:hint="default"/>
                <w:sz w:val="24"/>
                <w:szCs w:val="24"/>
                <w:lang w:eastAsia="zh-Hans"/>
              </w:rPr>
              <w:t>3</w:t>
            </w:r>
            <w:r>
              <w:rPr>
                <w:rFonts w:hint="eastAsia"/>
                <w:sz w:val="24"/>
                <w:szCs w:val="24"/>
                <w:lang w:val="en-US" w:eastAsia="zh-Hans"/>
              </w:rPr>
              <w:t>分</w:t>
            </w:r>
            <w:r>
              <w:rPr>
                <w:rFonts w:hint="eastAsia"/>
                <w:sz w:val="24"/>
                <w:szCs w:val="24"/>
                <w:lang w:val="en-US" w:eastAsia="zh-CN"/>
              </w:rPr>
              <w:t>。</w:t>
            </w:r>
          </w:p>
          <w:p>
            <w:pPr>
              <w:bidi w:val="0"/>
              <w:spacing w:line="360" w:lineRule="auto"/>
              <w:rPr>
                <w:sz w:val="24"/>
                <w:szCs w:val="24"/>
              </w:rPr>
            </w:pPr>
            <w:r>
              <w:rPr>
                <w:rFonts w:hint="eastAsia"/>
                <w:sz w:val="24"/>
                <w:szCs w:val="24"/>
                <w:lang w:val="en-US" w:eastAsia="zh-CN"/>
              </w:rPr>
              <w:t>（注：以上均需提供有效证书复制件加盖投标人公章，否则对应评分项不得分）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44" w:hRule="atLeast"/>
        </w:trPr>
        <w:tc>
          <w:tcPr>
            <w:tcW w:w="790" w:type="dxa"/>
            <w:vAlign w:val="center"/>
          </w:tcPr>
          <w:p>
            <w:pPr>
              <w:spacing w:line="360" w:lineRule="auto"/>
              <w:jc w:val="center"/>
              <w:rPr>
                <w:rFonts w:hint="eastAsia" w:eastAsiaTheme="minorEastAsia"/>
                <w:sz w:val="24"/>
                <w:szCs w:val="24"/>
                <w:lang w:eastAsia="zh-CN"/>
              </w:rPr>
            </w:pPr>
            <w:r>
              <w:rPr>
                <w:rFonts w:hint="eastAsia"/>
                <w:sz w:val="24"/>
                <w:szCs w:val="24"/>
                <w:lang w:val="en-US" w:eastAsia="zh-CN"/>
              </w:rPr>
              <w:t>6</w:t>
            </w:r>
          </w:p>
        </w:tc>
        <w:tc>
          <w:tcPr>
            <w:tcW w:w="1698" w:type="dxa"/>
            <w:shd w:val="clear" w:color="auto" w:fill="FFFFFF" w:themeFill="background1"/>
            <w:vAlign w:val="center"/>
          </w:tcPr>
          <w:p>
            <w:pPr>
              <w:spacing w:line="360" w:lineRule="auto"/>
              <w:jc w:val="center"/>
              <w:rPr>
                <w:rFonts w:hint="eastAsia"/>
                <w:sz w:val="24"/>
                <w:szCs w:val="24"/>
              </w:rPr>
            </w:pPr>
            <w:r>
              <w:rPr>
                <w:rFonts w:hint="eastAsia"/>
                <w:sz w:val="24"/>
                <w:szCs w:val="24"/>
              </w:rPr>
              <w:t>项目业绩</w:t>
            </w:r>
          </w:p>
        </w:tc>
        <w:tc>
          <w:tcPr>
            <w:tcW w:w="1015" w:type="dxa"/>
            <w:shd w:val="clear" w:color="auto" w:fill="FFFFFF" w:themeFill="background1"/>
            <w:vAlign w:val="center"/>
          </w:tcPr>
          <w:p>
            <w:pPr>
              <w:spacing w:line="360" w:lineRule="auto"/>
              <w:jc w:val="center"/>
              <w:rPr>
                <w:sz w:val="24"/>
                <w:szCs w:val="24"/>
              </w:rPr>
            </w:pPr>
            <w:r>
              <w:rPr>
                <w:rFonts w:hint="default"/>
                <w:sz w:val="24"/>
                <w:szCs w:val="24"/>
              </w:rPr>
              <w:t>10</w:t>
            </w:r>
            <w:r>
              <w:rPr>
                <w:rFonts w:hint="eastAsia"/>
                <w:sz w:val="24"/>
                <w:szCs w:val="24"/>
              </w:rPr>
              <w:t>分</w:t>
            </w:r>
          </w:p>
        </w:tc>
        <w:tc>
          <w:tcPr>
            <w:tcW w:w="4917" w:type="dxa"/>
            <w:shd w:val="clear" w:color="auto" w:fill="FFFFFF" w:themeFill="background1"/>
            <w:vAlign w:val="center"/>
          </w:tcPr>
          <w:p>
            <w:pPr>
              <w:spacing w:line="360" w:lineRule="auto"/>
              <w:rPr>
                <w:sz w:val="24"/>
                <w:szCs w:val="24"/>
              </w:rPr>
            </w:pPr>
            <w:r>
              <w:rPr>
                <w:rFonts w:hint="eastAsia"/>
                <w:sz w:val="24"/>
                <w:szCs w:val="24"/>
              </w:rPr>
              <w:t>提供投标人201</w:t>
            </w:r>
            <w:r>
              <w:rPr>
                <w:sz w:val="24"/>
                <w:szCs w:val="24"/>
              </w:rPr>
              <w:t>9</w:t>
            </w:r>
            <w:r>
              <w:rPr>
                <w:rFonts w:hint="eastAsia"/>
                <w:sz w:val="24"/>
                <w:szCs w:val="24"/>
              </w:rPr>
              <w:t>年1月1日以来签署</w:t>
            </w:r>
            <w:r>
              <w:rPr>
                <w:rFonts w:hint="eastAsia"/>
                <w:sz w:val="24"/>
                <w:szCs w:val="24"/>
                <w:lang w:eastAsia="zh-Hans"/>
              </w:rPr>
              <w:t>医疗</w:t>
            </w:r>
            <w:r>
              <w:rPr>
                <w:rFonts w:hint="eastAsia"/>
                <w:sz w:val="24"/>
                <w:szCs w:val="24"/>
                <w:lang w:val="en-US" w:eastAsia="zh-CN"/>
              </w:rPr>
              <w:t>机构</w:t>
            </w:r>
            <w:r>
              <w:rPr>
                <w:rFonts w:hint="eastAsia"/>
                <w:sz w:val="24"/>
                <w:szCs w:val="24"/>
                <w:lang w:val="en-US" w:eastAsia="zh-Hans"/>
              </w:rPr>
              <w:t>服务</w:t>
            </w:r>
            <w:r>
              <w:rPr>
                <w:rFonts w:hint="eastAsia"/>
                <w:sz w:val="24"/>
                <w:szCs w:val="24"/>
              </w:rPr>
              <w:t>外包项目业绩，以合同复印件为准，每提供一份得</w:t>
            </w:r>
            <w:r>
              <w:rPr>
                <w:rFonts w:hint="default"/>
                <w:sz w:val="24"/>
                <w:szCs w:val="24"/>
                <w:lang w:eastAsia="zh-CN"/>
              </w:rPr>
              <w:t>2</w:t>
            </w:r>
            <w:r>
              <w:rPr>
                <w:rFonts w:hint="eastAsia"/>
                <w:sz w:val="24"/>
                <w:szCs w:val="24"/>
              </w:rPr>
              <w:t>分，最高得</w:t>
            </w:r>
            <w:r>
              <w:rPr>
                <w:rFonts w:hint="default"/>
                <w:sz w:val="24"/>
                <w:szCs w:val="24"/>
                <w:lang w:eastAsia="zh-CN"/>
              </w:rPr>
              <w:t>10</w:t>
            </w:r>
            <w:r>
              <w:rPr>
                <w:rFonts w:hint="eastAsia"/>
                <w:sz w:val="24"/>
                <w:szCs w:val="24"/>
              </w:rPr>
              <w:t>分。（</w:t>
            </w:r>
            <w:r>
              <w:rPr>
                <w:rFonts w:hint="eastAsia"/>
                <w:sz w:val="24"/>
                <w:szCs w:val="24"/>
                <w:lang w:val="en-US" w:eastAsia="zh-CN"/>
              </w:rPr>
              <w:t>需</w:t>
            </w:r>
            <w:r>
              <w:rPr>
                <w:rFonts w:hint="eastAsia"/>
                <w:sz w:val="24"/>
                <w:szCs w:val="24"/>
              </w:rPr>
              <w:t>提供合同复印件，加盖公章，原件备查</w:t>
            </w:r>
            <w:r>
              <w:rPr>
                <w:rFonts w:hint="eastAsia"/>
                <w:sz w:val="24"/>
                <w:szCs w:val="24"/>
                <w:lang w:eastAsia="zh-CN"/>
              </w:rPr>
              <w:t>，</w:t>
            </w:r>
            <w:r>
              <w:rPr>
                <w:rFonts w:hint="eastAsia"/>
                <w:sz w:val="24"/>
                <w:szCs w:val="24"/>
                <w:lang w:val="en-US" w:eastAsia="zh-CN"/>
              </w:rPr>
              <w:t>否则不得分</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90" w:type="dxa"/>
            <w:vAlign w:val="center"/>
          </w:tcPr>
          <w:p>
            <w:pPr>
              <w:spacing w:line="360" w:lineRule="auto"/>
              <w:jc w:val="center"/>
              <w:rPr>
                <w:rFonts w:hint="eastAsia" w:eastAsiaTheme="minorEastAsia"/>
                <w:sz w:val="24"/>
                <w:szCs w:val="24"/>
                <w:lang w:eastAsia="zh-CN"/>
              </w:rPr>
            </w:pPr>
            <w:r>
              <w:rPr>
                <w:rFonts w:hint="eastAsia"/>
                <w:sz w:val="24"/>
                <w:szCs w:val="24"/>
                <w:lang w:val="en-US" w:eastAsia="zh-CN"/>
              </w:rPr>
              <w:t>7</w:t>
            </w:r>
          </w:p>
        </w:tc>
        <w:tc>
          <w:tcPr>
            <w:tcW w:w="1698" w:type="dxa"/>
            <w:shd w:val="clear" w:color="auto" w:fill="FFFFFF" w:themeFill="background1"/>
            <w:vAlign w:val="center"/>
          </w:tcPr>
          <w:p>
            <w:pPr>
              <w:spacing w:line="360" w:lineRule="auto"/>
              <w:jc w:val="center"/>
              <w:rPr>
                <w:sz w:val="24"/>
                <w:szCs w:val="24"/>
              </w:rPr>
            </w:pPr>
            <w:r>
              <w:rPr>
                <w:rFonts w:hint="eastAsia"/>
                <w:sz w:val="24"/>
                <w:szCs w:val="24"/>
              </w:rPr>
              <w:t>优惠承诺</w:t>
            </w:r>
          </w:p>
        </w:tc>
        <w:tc>
          <w:tcPr>
            <w:tcW w:w="1015" w:type="dxa"/>
            <w:shd w:val="clear" w:color="auto" w:fill="FFFFFF" w:themeFill="background1"/>
            <w:vAlign w:val="center"/>
          </w:tcPr>
          <w:p>
            <w:pPr>
              <w:spacing w:line="360" w:lineRule="auto"/>
              <w:jc w:val="center"/>
              <w:rPr>
                <w:sz w:val="24"/>
                <w:szCs w:val="24"/>
              </w:rPr>
            </w:pPr>
            <w:r>
              <w:rPr>
                <w:sz w:val="24"/>
                <w:szCs w:val="24"/>
              </w:rPr>
              <w:t>2</w:t>
            </w:r>
            <w:r>
              <w:rPr>
                <w:rFonts w:hint="eastAsia"/>
                <w:sz w:val="24"/>
                <w:szCs w:val="24"/>
              </w:rPr>
              <w:t>分</w:t>
            </w:r>
          </w:p>
        </w:tc>
        <w:tc>
          <w:tcPr>
            <w:tcW w:w="4917" w:type="dxa"/>
            <w:shd w:val="clear" w:color="auto" w:fill="FFFFFF" w:themeFill="background1"/>
            <w:vAlign w:val="center"/>
          </w:tcPr>
          <w:p>
            <w:pPr>
              <w:spacing w:line="360" w:lineRule="auto"/>
              <w:rPr>
                <w:sz w:val="24"/>
                <w:szCs w:val="24"/>
              </w:rPr>
            </w:pPr>
            <w:r>
              <w:rPr>
                <w:rFonts w:hint="eastAsia"/>
                <w:sz w:val="24"/>
                <w:szCs w:val="24"/>
              </w:rPr>
              <w:t>评标委员会根据优惠承诺的实际价值比较打分。A档</w:t>
            </w:r>
            <w:r>
              <w:rPr>
                <w:rFonts w:hint="eastAsia"/>
                <w:sz w:val="24"/>
                <w:szCs w:val="24"/>
                <w:lang w:val="en-US" w:eastAsia="zh-CN"/>
              </w:rPr>
              <w:t>2</w:t>
            </w:r>
            <w:r>
              <w:rPr>
                <w:rFonts w:hint="eastAsia"/>
                <w:sz w:val="24"/>
                <w:szCs w:val="24"/>
              </w:rPr>
              <w:t>分；B档</w:t>
            </w:r>
            <w:r>
              <w:rPr>
                <w:rFonts w:hint="eastAsia"/>
                <w:sz w:val="24"/>
                <w:szCs w:val="24"/>
                <w:lang w:val="en-US" w:eastAsia="zh-CN"/>
              </w:rPr>
              <w:t>1</w:t>
            </w:r>
            <w:r>
              <w:rPr>
                <w:rFonts w:hint="eastAsia"/>
                <w:sz w:val="24"/>
                <w:szCs w:val="24"/>
              </w:rPr>
              <w:t>分；C档</w:t>
            </w:r>
            <w:r>
              <w:rPr>
                <w:rFonts w:hint="eastAsia"/>
                <w:sz w:val="24"/>
                <w:szCs w:val="24"/>
                <w:lang w:val="en-US" w:eastAsia="zh-CN"/>
              </w:rPr>
              <w:t>0</w:t>
            </w:r>
            <w:r>
              <w:rPr>
                <w:rFonts w:hint="eastAsia"/>
                <w:sz w:val="24"/>
                <w:szCs w:val="24"/>
              </w:rPr>
              <w:t>分</w:t>
            </w:r>
          </w:p>
        </w:tc>
      </w:tr>
    </w:tbl>
    <w:p>
      <w:pPr>
        <w:rPr>
          <w:rFonts w:hint="eastAsia"/>
          <w:lang w:val="en-US" w:eastAsia="zh-CN"/>
        </w:rPr>
      </w:pPr>
    </w:p>
    <w:p>
      <w:pPr>
        <w:pStyle w:val="2"/>
        <w:rPr>
          <w:rFonts w:hint="eastAsia"/>
          <w:lang w:val="en-US" w:eastAsia="zh-CN"/>
        </w:rPr>
      </w:pPr>
    </w:p>
    <w:p>
      <w:pPr>
        <w:numPr>
          <w:ilvl w:val="0"/>
          <w:numId w:val="1"/>
        </w:numPr>
        <w:rPr>
          <w:rFonts w:hint="eastAsia" w:ascii="宋体" w:hAnsi="宋体" w:eastAsia="宋体" w:cs="宋体"/>
          <w:sz w:val="24"/>
          <w:szCs w:val="24"/>
        </w:rPr>
      </w:pPr>
      <w:r>
        <w:rPr>
          <w:rFonts w:hint="eastAsia" w:ascii="宋体" w:hAnsi="宋体" w:eastAsia="宋体" w:cs="宋体"/>
          <w:sz w:val="24"/>
          <w:szCs w:val="24"/>
          <w:lang w:val="en-US" w:eastAsia="zh-CN"/>
        </w:rPr>
        <w:t>价格</w:t>
      </w:r>
      <w:r>
        <w:rPr>
          <w:rFonts w:hint="eastAsia" w:ascii="宋体" w:hAnsi="宋体" w:eastAsia="宋体" w:cs="宋体"/>
          <w:sz w:val="24"/>
          <w:szCs w:val="24"/>
        </w:rPr>
        <w:t>评分：</w:t>
      </w:r>
      <w:r>
        <w:rPr>
          <w:rFonts w:hint="eastAsia" w:ascii="宋体" w:hAnsi="宋体" w:eastAsia="宋体" w:cs="宋体"/>
          <w:sz w:val="24"/>
          <w:szCs w:val="24"/>
          <w:lang w:val="en-US" w:eastAsia="zh-CN"/>
        </w:rPr>
        <w:t>满分30</w:t>
      </w:r>
      <w:r>
        <w:rPr>
          <w:rFonts w:hint="eastAsia" w:ascii="宋体" w:hAnsi="宋体" w:eastAsia="宋体" w:cs="宋体"/>
          <w:sz w:val="24"/>
          <w:szCs w:val="24"/>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2" w:name="_Toc8618"/>
      <w:bookmarkStart w:id="3" w:name="_Toc11964"/>
      <w:r>
        <w:rPr>
          <w:rFonts w:hint="eastAsia" w:ascii="宋体" w:hAnsi="宋体" w:eastAsia="宋体" w:cs="宋体"/>
          <w:b/>
          <w:color w:val="auto"/>
          <w:sz w:val="28"/>
          <w:szCs w:val="28"/>
          <w:highlight w:val="none"/>
          <w:lang w:val="zh-CN"/>
        </w:rPr>
        <w:t>报价一览表</w:t>
      </w:r>
      <w:bookmarkEnd w:id="2"/>
      <w:bookmarkEnd w:id="3"/>
    </w:p>
    <w:p>
      <w:pPr>
        <w:spacing w:line="460" w:lineRule="exact"/>
        <w:ind w:firstLine="235" w:firstLineChars="98"/>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温州市中医院龙湾院区全院综合运维</w:t>
      </w:r>
      <w:r>
        <w:rPr>
          <w:rFonts w:hint="eastAsia" w:ascii="宋体" w:hAnsi="宋体" w:eastAsia="宋体" w:cs="宋体"/>
          <w:b w:val="0"/>
          <w:bCs w:val="0"/>
          <w:color w:val="auto"/>
          <w:sz w:val="24"/>
          <w:szCs w:val="24"/>
          <w:highlight w:val="none"/>
          <w:lang w:val="en-US" w:eastAsia="zh-CN"/>
        </w:rPr>
        <w:t>服务外包采购项目</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7"/>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18"/>
        <w:gridCol w:w="3778"/>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2618"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778" w:type="dxa"/>
            <w:noWrap w:val="0"/>
            <w:vAlign w:val="center"/>
          </w:tcPr>
          <w:p>
            <w:pPr>
              <w:spacing w:line="380" w:lineRule="exact"/>
              <w:ind w:left="-422" w:leftChars="-201" w:firstLine="968" w:firstLineChars="440"/>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127"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847"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18"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778"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127"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47"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18"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778"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127"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450" w:lineRule="exact"/>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spacing w:line="450" w:lineRule="exact"/>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 xml:space="preserve">           </w:t>
      </w:r>
      <w:r>
        <w:rPr>
          <w:rFonts w:hint="eastAsia" w:ascii="宋体" w:hAnsi="宋体" w:eastAsia="宋体" w:cs="宋体"/>
          <w:b/>
          <w:color w:val="auto"/>
          <w:sz w:val="22"/>
          <w:highlight w:val="none"/>
          <w:lang w:val="en-US" w:eastAsia="zh-CN"/>
        </w:rPr>
        <w:t>2</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bookmarkStart w:id="4" w:name="_GoBack"/>
      <w:bookmarkEnd w:id="4"/>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EDBB908E"/>
    <w:rsid w:val="029004BF"/>
    <w:rsid w:val="04213946"/>
    <w:rsid w:val="04D41441"/>
    <w:rsid w:val="055C30DB"/>
    <w:rsid w:val="09EF5C6A"/>
    <w:rsid w:val="0D124418"/>
    <w:rsid w:val="10686DD7"/>
    <w:rsid w:val="10B95885"/>
    <w:rsid w:val="153B4572"/>
    <w:rsid w:val="18F95E10"/>
    <w:rsid w:val="1ABA19DE"/>
    <w:rsid w:val="1F446C62"/>
    <w:rsid w:val="201E44DB"/>
    <w:rsid w:val="23AB72AF"/>
    <w:rsid w:val="27DF39CB"/>
    <w:rsid w:val="2AB006E8"/>
    <w:rsid w:val="2BFE1832"/>
    <w:rsid w:val="2C2163B1"/>
    <w:rsid w:val="2DFB0E33"/>
    <w:rsid w:val="2FB39D8B"/>
    <w:rsid w:val="2FEDBC4C"/>
    <w:rsid w:val="33CA5C3B"/>
    <w:rsid w:val="35F72828"/>
    <w:rsid w:val="36053A80"/>
    <w:rsid w:val="374455F9"/>
    <w:rsid w:val="37BBB84A"/>
    <w:rsid w:val="392B0762"/>
    <w:rsid w:val="3CB55C21"/>
    <w:rsid w:val="4391420F"/>
    <w:rsid w:val="45FE0286"/>
    <w:rsid w:val="48CC544E"/>
    <w:rsid w:val="49854AA6"/>
    <w:rsid w:val="499F2B63"/>
    <w:rsid w:val="49B112AF"/>
    <w:rsid w:val="4C4B7F4C"/>
    <w:rsid w:val="4CD34FFD"/>
    <w:rsid w:val="54BC0090"/>
    <w:rsid w:val="55646631"/>
    <w:rsid w:val="597C6A1D"/>
    <w:rsid w:val="5C9347A9"/>
    <w:rsid w:val="5D261179"/>
    <w:rsid w:val="61397AE4"/>
    <w:rsid w:val="67AA53C7"/>
    <w:rsid w:val="67E362BE"/>
    <w:rsid w:val="68625CD8"/>
    <w:rsid w:val="68BC0BE4"/>
    <w:rsid w:val="69781B87"/>
    <w:rsid w:val="69F55601"/>
    <w:rsid w:val="6A3E3B9D"/>
    <w:rsid w:val="6BB23A37"/>
    <w:rsid w:val="6C094140"/>
    <w:rsid w:val="6C7448DE"/>
    <w:rsid w:val="6FF34F5D"/>
    <w:rsid w:val="70003AAC"/>
    <w:rsid w:val="719BC1F3"/>
    <w:rsid w:val="7327134F"/>
    <w:rsid w:val="73FB6A64"/>
    <w:rsid w:val="74847164"/>
    <w:rsid w:val="79D53106"/>
    <w:rsid w:val="7A756E44"/>
    <w:rsid w:val="7B7F705D"/>
    <w:rsid w:val="7C556F2D"/>
    <w:rsid w:val="7E6671D0"/>
    <w:rsid w:val="9E5FB5C1"/>
    <w:rsid w:val="D7A71745"/>
    <w:rsid w:val="EDBB908E"/>
    <w:rsid w:val="F1FB3C8F"/>
    <w:rsid w:val="FEF34AF7"/>
    <w:rsid w:val="FFCE35CA"/>
    <w:rsid w:val="FFFB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autoSpaceDE w:val="0"/>
      <w:autoSpaceDN w:val="0"/>
      <w:spacing w:line="360" w:lineRule="auto"/>
      <w:jc w:val="center"/>
      <w:textAlignment w:val="bottom"/>
      <w:outlineLvl w:val="0"/>
    </w:pPr>
    <w:rPr>
      <w:rFonts w:ascii="仿宋_GB2312" w:eastAsia="仿宋_GB2312"/>
      <w:b/>
      <w:sz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unhideWhenUsed/>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paragraph" w:styleId="6">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2"/>
    <w:basedOn w:val="1"/>
    <w:qFormat/>
    <w:uiPriority w:val="34"/>
    <w:pPr>
      <w:ind w:firstLine="420" w:firstLineChars="200"/>
    </w:pPr>
  </w:style>
  <w:style w:type="paragraph" w:customStyle="1" w:styleId="11">
    <w:name w:val="Other|1"/>
    <w:basedOn w:val="1"/>
    <w:qFormat/>
    <w:uiPriority w:val="0"/>
    <w:pPr>
      <w:ind w:firstLine="180"/>
    </w:pPr>
    <w:rPr>
      <w:rFonts w:ascii="宋体" w:hAnsi="宋体" w:eastAsia="宋体" w:cs="宋体"/>
      <w:color w:val="auto"/>
      <w:kern w:val="2"/>
      <w:sz w:val="15"/>
      <w:szCs w:val="15"/>
      <w:lang w:val="zh-TW" w:eastAsia="zh-TW" w:bidi="zh-TW"/>
    </w:rPr>
  </w:style>
  <w:style w:type="paragraph" w:customStyle="1" w:styleId="12">
    <w:name w:val="编号正文5"/>
    <w:basedOn w:val="1"/>
    <w:qFormat/>
    <w:uiPriority w:val="0"/>
    <w:pPr>
      <w:adjustRightInd w:val="0"/>
      <w:spacing w:line="240" w:lineRule="atLeast"/>
      <w:ind w:left="709" w:hanging="425"/>
      <w:textAlignment w:val="baseline"/>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2869</Words>
  <Characters>2927</Characters>
  <Lines>0</Lines>
  <Paragraphs>0</Paragraphs>
  <TotalTime>5</TotalTime>
  <ScaleCrop>false</ScaleCrop>
  <LinksUpToDate>false</LinksUpToDate>
  <CharactersWithSpaces>2996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2021-08-31T08:42:00Z</dcterms:created>
  <dc:creator>liu</dc:creator>
  <cp:lastModifiedBy>天津卫</cp:lastModifiedBy>
  <dcterms:modified xsi:type="dcterms:W3CDTF">2022-05-19T03:12:43Z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52930A19D6D9410095B614464EF47DBF</vt:lpwstr>
  </property>
</Properties>
</file>