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6"/>
          <w:szCs w:val="36"/>
          <w:lang w:val="en-US" w:eastAsia="zh-CN"/>
        </w:rPr>
        <w:t>温州市中医院关于多功能牵引床项目的招标</w:t>
      </w:r>
    </w:p>
    <w:p>
      <w:pPr>
        <w:numPr>
          <w:ilvl w:val="0"/>
          <w:numId w:val="1"/>
        </w:numPr>
        <w:jc w:val="both"/>
        <w:rPr>
          <w:rStyle w:val="12"/>
          <w:rFonts w:hint="eastAsia" w:asciiTheme="minorEastAsia" w:hAnsiTheme="minorEastAsia" w:eastAsiaTheme="minorEastAsia" w:cstheme="minorEastAsia"/>
          <w:b/>
          <w:bCs/>
          <w:sz w:val="32"/>
          <w:szCs w:val="32"/>
        </w:rPr>
      </w:pPr>
      <w:r>
        <w:rPr>
          <w:rStyle w:val="12"/>
          <w:rFonts w:hint="eastAsia" w:asciiTheme="minorEastAsia" w:hAnsiTheme="minorEastAsia" w:eastAsiaTheme="minorEastAsia" w:cstheme="minorEastAsia"/>
          <w:b/>
          <w:bCs/>
          <w:sz w:val="32"/>
          <w:szCs w:val="32"/>
        </w:rPr>
        <w:t>项目基本情况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5"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sz w:val="24"/>
                <w:szCs w:val="24"/>
                <w:vertAlign w:val="baseline"/>
                <w:lang w:val="en-US" w:eastAsia="zh-CN"/>
              </w:rPr>
              <w:t>2022-sb-cg-</w:t>
            </w:r>
            <w:r>
              <w:rPr>
                <w:rFonts w:hint="eastAsia" w:asciiTheme="minorEastAsia" w:hAnsiTheme="minorEastAsia" w:cstheme="minorEastAsia"/>
                <w:color w:val="auto"/>
                <w:sz w:val="24"/>
                <w:szCs w:val="24"/>
                <w:vertAlign w:val="baseline"/>
                <w:lang w:val="en-US" w:eastAsia="zh-CN"/>
              </w:rPr>
              <w:t>011</w:t>
            </w:r>
          </w:p>
        </w:tc>
        <w:tc>
          <w:tcPr>
            <w:tcW w:w="5183" w:type="dxa"/>
          </w:tcPr>
          <w:p>
            <w:pPr>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rPr>
              <w:t>项目名称：多功能牵引床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数量：2台</w:t>
            </w:r>
          </w:p>
        </w:tc>
        <w:tc>
          <w:tcPr>
            <w:tcW w:w="5183" w:type="dxa"/>
          </w:tcPr>
          <w:p>
            <w:pPr>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预算</w:t>
            </w:r>
            <w:r>
              <w:rPr>
                <w:rFonts w:hint="eastAsia" w:asciiTheme="minorEastAsia" w:hAnsiTheme="minorEastAsia" w:cstheme="minorEastAsia"/>
                <w:b w:val="0"/>
                <w:bCs w:val="0"/>
                <w:color w:val="auto"/>
                <w:sz w:val="24"/>
                <w:szCs w:val="24"/>
                <w:lang w:val="en-US" w:eastAsia="zh-CN"/>
              </w:rPr>
              <w:t>单价</w:t>
            </w:r>
            <w:r>
              <w:rPr>
                <w:rFonts w:hint="eastAsia" w:asciiTheme="minorEastAsia" w:hAnsiTheme="minorEastAsia" w:eastAsiaTheme="minorEastAsia" w:cstheme="minorEastAsia"/>
                <w:b w:val="0"/>
                <w:bCs w:val="0"/>
                <w:color w:val="auto"/>
                <w:sz w:val="24"/>
                <w:szCs w:val="24"/>
              </w:rPr>
              <w:t>（元）:</w:t>
            </w:r>
            <w:r>
              <w:rPr>
                <w:rFonts w:hint="eastAsia" w:asciiTheme="minorEastAsia" w:hAnsiTheme="minorEastAsia" w:cstheme="minorEastAsia"/>
                <w:b w:val="0"/>
                <w:bCs w:val="0"/>
                <w:color w:val="auto"/>
                <w:sz w:val="24"/>
                <w:szCs w:val="24"/>
                <w:lang w:val="en-US" w:eastAsia="zh-CN"/>
              </w:rPr>
              <w:t>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预算</w:t>
            </w:r>
            <w:r>
              <w:rPr>
                <w:rFonts w:hint="eastAsia" w:asciiTheme="minorEastAsia" w:hAnsiTheme="minorEastAsia" w:cstheme="minorEastAsia"/>
                <w:b w:val="0"/>
                <w:bCs w:val="0"/>
                <w:color w:val="auto"/>
                <w:sz w:val="24"/>
                <w:szCs w:val="24"/>
                <w:lang w:val="en-US" w:eastAsia="zh-CN"/>
              </w:rPr>
              <w:t>总</w:t>
            </w:r>
            <w:r>
              <w:rPr>
                <w:rFonts w:hint="eastAsia" w:asciiTheme="minorEastAsia" w:hAnsiTheme="minorEastAsia" w:eastAsiaTheme="minorEastAsia" w:cstheme="minorEastAsia"/>
                <w:b w:val="0"/>
                <w:bCs w:val="0"/>
                <w:color w:val="auto"/>
                <w:sz w:val="24"/>
                <w:szCs w:val="24"/>
              </w:rPr>
              <w:t>金额（元）:</w:t>
            </w:r>
            <w:r>
              <w:rPr>
                <w:rFonts w:hint="eastAsia" w:asciiTheme="minorEastAsia" w:hAnsiTheme="minorEastAsia" w:cstheme="minorEastAsia"/>
                <w:b w:val="0"/>
                <w:bCs w:val="0"/>
                <w:color w:val="auto"/>
                <w:sz w:val="24"/>
                <w:szCs w:val="24"/>
                <w:lang w:val="en-US" w:eastAsia="zh-CN"/>
              </w:rPr>
              <w:t>12万</w:t>
            </w:r>
          </w:p>
        </w:tc>
        <w:tc>
          <w:tcPr>
            <w:tcW w:w="5183" w:type="dxa"/>
          </w:tcPr>
          <w:p>
            <w:pPr>
              <w:jc w:val="both"/>
              <w:rPr>
                <w:rFonts w:hint="eastAsia" w:asciiTheme="minorEastAsia" w:hAnsiTheme="minorEastAsia" w:eastAsiaTheme="minorEastAsia" w:cstheme="minorEastAsia"/>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Fonts w:hint="eastAsia" w:ascii="宋体" w:hAnsi="宋体" w:eastAsia="宋体" w:cs="宋体"/>
                <w:i w:val="0"/>
                <w:iCs w:val="0"/>
                <w:caps w:val="0"/>
                <w:color w:val="000000"/>
                <w:spacing w:val="0"/>
                <w:sz w:val="24"/>
                <w:szCs w:val="24"/>
                <w:shd w:val="clear" w:color="auto" w:fill="FFFFFF"/>
              </w:rPr>
              <w:t>将人体生理学与机械物理学相结合，采用机械传动进行牵引，广泛应用于各种急慢性损伤引起的腰椎间盘突出、腰痛、外伤性颈椎骨折、错位、脱位，也可适用于颈椎性头晕目眩、头痛、上肢麻痛等病症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获取招标文件</w:t>
      </w:r>
    </w:p>
    <w:p>
      <w:pPr>
        <w:pStyle w:val="7"/>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w:t>
      </w:r>
      <w:r>
        <w:rPr>
          <w:rFonts w:hint="eastAsia" w:asciiTheme="minorEastAsia" w:hAnsiTheme="minorEastAsia" w:eastAsiaTheme="minorEastAsia" w:cstheme="minorEastAsia"/>
          <w:color w:val="FF0000"/>
          <w:kern w:val="2"/>
          <w:sz w:val="24"/>
          <w:szCs w:val="24"/>
          <w:lang w:val="en-US" w:eastAsia="zh-CN" w:bidi="ar-SA"/>
        </w:rPr>
        <w:t>5月</w:t>
      </w:r>
      <w:r>
        <w:rPr>
          <w:rFonts w:hint="eastAsia" w:asciiTheme="minorEastAsia" w:hAnsiTheme="minorEastAsia" w:cstheme="minorEastAsia"/>
          <w:color w:val="FF0000"/>
          <w:kern w:val="2"/>
          <w:sz w:val="24"/>
          <w:szCs w:val="24"/>
          <w:lang w:val="en-US" w:eastAsia="zh-CN" w:bidi="ar-SA"/>
        </w:rPr>
        <w:t>20</w:t>
      </w:r>
      <w:r>
        <w:rPr>
          <w:rFonts w:hint="eastAsia" w:asciiTheme="minorEastAsia" w:hAnsiTheme="minorEastAsia" w:eastAsiaTheme="minorEastAsia" w:cstheme="minorEastAsia"/>
          <w:color w:val="FF0000"/>
          <w:kern w:val="2"/>
          <w:sz w:val="24"/>
          <w:szCs w:val="24"/>
          <w:lang w:val="en-US" w:eastAsia="zh-CN" w:bidi="ar-SA"/>
        </w:rPr>
        <w:t>日</w:t>
      </w:r>
      <w:r>
        <w:rPr>
          <w:rFonts w:hint="eastAsia" w:asciiTheme="minorEastAsia" w:hAnsiTheme="minorEastAsia" w:cstheme="minorEastAsia"/>
          <w:color w:val="FF0000"/>
          <w:kern w:val="2"/>
          <w:sz w:val="24"/>
          <w:szCs w:val="24"/>
          <w:lang w:val="en-US" w:eastAsia="zh-CN" w:bidi="ar-SA"/>
        </w:rPr>
        <w:t>上</w:t>
      </w:r>
      <w:r>
        <w:rPr>
          <w:rFonts w:hint="eastAsia" w:asciiTheme="minorEastAsia" w:hAnsiTheme="minorEastAsia" w:eastAsiaTheme="minorEastAsia" w:cstheme="minorEastAsia"/>
          <w:color w:val="FF0000"/>
          <w:kern w:val="2"/>
          <w:sz w:val="24"/>
          <w:szCs w:val="24"/>
          <w:lang w:val="en-US" w:eastAsia="zh-CN" w:bidi="ar-SA"/>
        </w:rPr>
        <w:t>午</w:t>
      </w:r>
      <w:r>
        <w:rPr>
          <w:rFonts w:hint="eastAsia" w:asciiTheme="minorEastAsia" w:hAnsiTheme="minorEastAsia" w:cstheme="minorEastAsia"/>
          <w:color w:val="FF0000"/>
          <w:kern w:val="2"/>
          <w:sz w:val="24"/>
          <w:szCs w:val="24"/>
          <w:lang w:val="en-US" w:eastAsia="zh-CN" w:bidi="ar-SA"/>
        </w:rPr>
        <w:t>11</w:t>
      </w:r>
      <w:r>
        <w:rPr>
          <w:rFonts w:hint="eastAsia" w:asciiTheme="minorEastAsia" w:hAnsiTheme="minorEastAsia" w:eastAsiaTheme="minorEastAsia" w:cstheme="minorEastAsia"/>
          <w:color w:val="FF0000"/>
          <w:kern w:val="2"/>
          <w:sz w:val="24"/>
          <w:szCs w:val="24"/>
          <w:lang w:val="en-US" w:eastAsia="zh-CN" w:bidi="ar-SA"/>
        </w:rPr>
        <w:t>：00</w:t>
      </w:r>
      <w:r>
        <w:rPr>
          <w:rFonts w:hint="eastAsia" w:asciiTheme="minorEastAsia" w:hAnsiTheme="minorEastAsia" w:eastAsiaTheme="minorEastAsia" w:cstheme="minorEastAsia"/>
          <w:kern w:val="2"/>
          <w:sz w:val="24"/>
          <w:szCs w:val="24"/>
          <w:lang w:val="en-US" w:eastAsia="zh-CN" w:bidi="ar-SA"/>
        </w:rPr>
        <w:t>（北京时间）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w:t>
      </w:r>
      <w:r>
        <w:rPr>
          <w:rFonts w:hint="eastAsia" w:asciiTheme="minorEastAsia" w:hAnsiTheme="minorEastAsia" w:eastAsiaTheme="minorEastAsia" w:cstheme="minorEastAsia"/>
          <w:color w:val="FF0000"/>
          <w:kern w:val="2"/>
          <w:sz w:val="24"/>
          <w:szCs w:val="24"/>
          <w:lang w:val="en-US" w:eastAsia="zh-CN" w:bidi="ar-SA"/>
        </w:rPr>
        <w:t>5月</w:t>
      </w:r>
      <w:r>
        <w:rPr>
          <w:rFonts w:hint="eastAsia" w:asciiTheme="minorEastAsia" w:hAnsiTheme="minorEastAsia" w:cstheme="minorEastAsia"/>
          <w:color w:val="FF0000"/>
          <w:kern w:val="2"/>
          <w:sz w:val="24"/>
          <w:szCs w:val="24"/>
          <w:lang w:val="en-US" w:eastAsia="zh-CN" w:bidi="ar-SA"/>
        </w:rPr>
        <w:t>20</w:t>
      </w:r>
      <w:r>
        <w:rPr>
          <w:rFonts w:hint="eastAsia" w:asciiTheme="minorEastAsia" w:hAnsiTheme="minorEastAsia" w:eastAsiaTheme="minorEastAsia" w:cstheme="minorEastAsia"/>
          <w:color w:val="FF0000"/>
          <w:kern w:val="2"/>
          <w:sz w:val="24"/>
          <w:szCs w:val="24"/>
          <w:lang w:val="en-US" w:eastAsia="zh-CN" w:bidi="ar-SA"/>
        </w:rPr>
        <w:t>日下午14：10</w:t>
      </w:r>
      <w:r>
        <w:rPr>
          <w:rFonts w:hint="eastAsia" w:asciiTheme="minorEastAsia" w:hAnsiTheme="minorEastAsia" w:eastAsiaTheme="minorEastAsia" w:cstheme="minorEastAsia"/>
          <w:kern w:val="2"/>
          <w:sz w:val="24"/>
          <w:szCs w:val="24"/>
          <w:lang w:val="en-US" w:eastAsia="zh-CN" w:bidi="ar-SA"/>
        </w:rPr>
        <w:t>（北京时间）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公告期限 </w:t>
      </w:r>
    </w:p>
    <w:p>
      <w:pPr>
        <w:pStyle w:val="7"/>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商务、技术参数偏离表</w:t>
      </w:r>
    </w:p>
    <w:p>
      <w:pPr>
        <w:snapToGrid w:val="0"/>
        <w:spacing w:line="360" w:lineRule="auto"/>
        <w:jc w:val="left"/>
        <w:rPr>
          <w:rFonts w:hint="eastAsia" w:asciiTheme="minorEastAsia" w:hAnsiTheme="minorEastAsia" w:eastAsiaTheme="minorEastAsia" w:cstheme="minorEastAsia"/>
          <w:sz w:val="24"/>
          <w:szCs w:val="24"/>
        </w:rPr>
      </w:pPr>
    </w:p>
    <w:tbl>
      <w:tblPr>
        <w:tblStyle w:val="10"/>
        <w:tblpPr w:leftFromText="180" w:rightFromText="180" w:vertAnchor="page" w:horzAnchor="page" w:tblpXSpec="center" w:tblpY="6571"/>
        <w:tblOverlap w:val="neve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973"/>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895"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一</w:t>
            </w:r>
          </w:p>
        </w:tc>
        <w:tc>
          <w:tcPr>
            <w:tcW w:w="7816"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总体要求</w:t>
            </w:r>
          </w:p>
        </w:tc>
        <w:tc>
          <w:tcPr>
            <w:tcW w:w="895"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81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cs="宋体"/>
                <w:b w:val="0"/>
                <w:bCs w:val="0"/>
                <w:i w:val="0"/>
                <w:iCs w:val="0"/>
                <w:color w:val="auto"/>
                <w:kern w:val="0"/>
                <w:sz w:val="24"/>
                <w:szCs w:val="24"/>
                <w:u w:val="none"/>
                <w:lang w:val="en-US" w:eastAsia="zh-CN" w:bidi="ar"/>
              </w:rPr>
              <w:t>采购</w:t>
            </w:r>
            <w:r>
              <w:rPr>
                <w:rFonts w:hint="eastAsia" w:ascii="宋体" w:hAnsi="宋体" w:eastAsia="宋体"/>
                <w:b w:val="0"/>
                <w:bCs w:val="0"/>
                <w:sz w:val="24"/>
                <w:szCs w:val="24"/>
              </w:rPr>
              <w:t>多功能牵引床</w:t>
            </w:r>
            <w:r>
              <w:rPr>
                <w:rFonts w:hint="eastAsia" w:ascii="宋体" w:hAnsi="宋体"/>
                <w:b w:val="0"/>
                <w:bCs w:val="0"/>
                <w:sz w:val="24"/>
                <w:szCs w:val="24"/>
                <w:lang w:val="en-US" w:eastAsia="zh-CN"/>
              </w:rPr>
              <w:t>2</w:t>
            </w:r>
            <w:r>
              <w:rPr>
                <w:rFonts w:hint="eastAsia" w:ascii="宋体" w:hAnsi="宋体" w:cs="宋体"/>
                <w:b w:val="0"/>
                <w:bCs w:val="0"/>
                <w:i w:val="0"/>
                <w:iCs w:val="0"/>
                <w:color w:val="auto"/>
                <w:kern w:val="0"/>
                <w:sz w:val="24"/>
                <w:szCs w:val="24"/>
                <w:u w:val="none"/>
                <w:lang w:val="en-US" w:eastAsia="zh-CN" w:bidi="ar"/>
              </w:rPr>
              <w:t>张</w:t>
            </w:r>
          </w:p>
        </w:tc>
        <w:tc>
          <w:tcPr>
            <w:tcW w:w="895"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781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highlight w:val="none"/>
                <w:u w:val="none"/>
                <w:lang w:val="en-US" w:eastAsia="zh-CN" w:bidi="ar"/>
              </w:rPr>
              <w:t>设备用途：</w:t>
            </w:r>
            <w:r>
              <w:rPr>
                <w:rFonts w:hint="eastAsia" w:ascii="宋体" w:hAnsi="宋体" w:eastAsia="宋体" w:cs="宋体"/>
                <w:i w:val="0"/>
                <w:iCs w:val="0"/>
                <w:caps w:val="0"/>
                <w:color w:val="000000"/>
                <w:spacing w:val="0"/>
                <w:sz w:val="24"/>
                <w:szCs w:val="24"/>
                <w:shd w:val="clear" w:color="auto" w:fill="FFFFFF"/>
              </w:rPr>
              <w:t>将人体生理学与机械物理学相结合，采用机械传动进行牵引，广泛应用于各种急慢性损伤引起的腰椎间盘突出、腰痛、外伤性颈椎骨折、错位、脱位，也可适用于颈椎性头晕目眩、头痛、上肢麻痛等病症</w:t>
            </w:r>
          </w:p>
        </w:tc>
        <w:tc>
          <w:tcPr>
            <w:tcW w:w="895" w:type="dxa"/>
            <w:vAlign w:val="top"/>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二</w:t>
            </w:r>
          </w:p>
        </w:tc>
        <w:tc>
          <w:tcPr>
            <w:tcW w:w="781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895" w:type="dxa"/>
            <w:vAlign w:val="center"/>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sz w:val="24"/>
                <w:szCs w:val="24"/>
              </w:rPr>
              <w:t>电源：A</w:t>
            </w:r>
            <w:r>
              <w:rPr>
                <w:rFonts w:ascii="宋体" w:hAnsi="宋体" w:eastAsia="宋体"/>
                <w:sz w:val="24"/>
                <w:szCs w:val="24"/>
              </w:rPr>
              <w:t>C</w:t>
            </w:r>
            <w:r>
              <w:rPr>
                <w:rFonts w:hint="eastAsia" w:ascii="宋体" w:hAnsi="宋体" w:eastAsia="宋体"/>
                <w:sz w:val="24"/>
                <w:szCs w:val="24"/>
              </w:rPr>
              <w:t xml:space="preserve">220V/50Hz   </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7816" w:type="dxa"/>
            <w:vAlign w:val="top"/>
          </w:tcPr>
          <w:p>
            <w:pPr>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sz w:val="24"/>
                <w:szCs w:val="24"/>
              </w:rPr>
              <w:t>输入功率：2</w:t>
            </w:r>
            <w:r>
              <w:rPr>
                <w:rFonts w:ascii="宋体" w:hAnsi="宋体" w:eastAsia="宋体"/>
                <w:sz w:val="24"/>
                <w:szCs w:val="24"/>
              </w:rPr>
              <w:t>000</w:t>
            </w:r>
            <w:r>
              <w:rPr>
                <w:rFonts w:hint="eastAsia" w:ascii="宋体" w:hAnsi="宋体" w:eastAsia="宋体"/>
                <w:sz w:val="24"/>
                <w:szCs w:val="24"/>
              </w:rPr>
              <w:t>VA</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7816" w:type="dxa"/>
            <w:vAlign w:val="top"/>
          </w:tcPr>
          <w:p>
            <w:pPr>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sz w:val="24"/>
                <w:szCs w:val="24"/>
              </w:rPr>
              <w:t>腰椎牵引力：0-900N范围内连续可调</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7816" w:type="dxa"/>
            <w:vAlign w:val="top"/>
          </w:tcPr>
          <w:p>
            <w:pPr>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sz w:val="24"/>
                <w:szCs w:val="24"/>
              </w:rPr>
              <w:t>颈椎牵引力：0</w:t>
            </w:r>
            <w:r>
              <w:rPr>
                <w:rFonts w:ascii="宋体" w:hAnsi="宋体" w:eastAsia="宋体"/>
                <w:sz w:val="24"/>
                <w:szCs w:val="24"/>
              </w:rPr>
              <w:t>-300N</w:t>
            </w:r>
            <w:r>
              <w:rPr>
                <w:rFonts w:hint="eastAsia" w:ascii="宋体" w:hAnsi="宋体" w:eastAsia="宋体"/>
                <w:sz w:val="24"/>
                <w:szCs w:val="24"/>
              </w:rPr>
              <w:t>任意可调</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7816" w:type="dxa"/>
            <w:vAlign w:val="top"/>
          </w:tcPr>
          <w:p>
            <w:pPr>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sz w:val="24"/>
                <w:szCs w:val="24"/>
              </w:rPr>
              <w:t>牵引总时间：0-60min可调</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sz w:val="24"/>
                <w:szCs w:val="24"/>
              </w:rPr>
              <w:t>牵引时间：0-9min任意可调</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781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sz w:val="24"/>
                <w:szCs w:val="24"/>
              </w:rPr>
              <w:t>间歇时间：0-90s任意可调</w:t>
            </w:r>
          </w:p>
        </w:tc>
        <w:tc>
          <w:tcPr>
            <w:tcW w:w="895" w:type="dxa"/>
            <w:vAlign w:val="top"/>
          </w:tcPr>
          <w:p>
            <w:pPr>
              <w:jc w:val="both"/>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7816" w:type="dxa"/>
            <w:vAlign w:val="top"/>
          </w:tcPr>
          <w:p>
            <w:pPr>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sz w:val="24"/>
                <w:szCs w:val="24"/>
              </w:rPr>
              <w:t>腰椎牵引行程：0-200mm</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2.9</w:t>
            </w:r>
          </w:p>
        </w:tc>
        <w:tc>
          <w:tcPr>
            <w:tcW w:w="7816" w:type="dxa"/>
            <w:vAlign w:val="top"/>
          </w:tcPr>
          <w:p>
            <w:pPr>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sz w:val="24"/>
                <w:szCs w:val="24"/>
              </w:rPr>
              <w:t>颈椎牵引行程：0</w:t>
            </w:r>
            <w:r>
              <w:rPr>
                <w:rFonts w:ascii="宋体" w:hAnsi="宋体" w:eastAsia="宋体"/>
                <w:sz w:val="24"/>
                <w:szCs w:val="24"/>
              </w:rPr>
              <w:t>-200</w:t>
            </w:r>
            <w:r>
              <w:rPr>
                <w:rFonts w:hint="eastAsia" w:ascii="宋体" w:hAnsi="宋体" w:eastAsia="宋体"/>
                <w:sz w:val="24"/>
                <w:szCs w:val="24"/>
              </w:rPr>
              <w:t>mm</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Theme="minorEastAsia" w:hAnsiTheme="minorEastAsia" w:eastAsiaTheme="minorEastAsia" w:cstheme="minorEastAsia"/>
                <w:sz w:val="24"/>
                <w:szCs w:val="24"/>
              </w:rPr>
              <w:t>★</w:t>
            </w:r>
            <w:bookmarkStart w:id="0" w:name="_GoBack"/>
            <w:bookmarkEnd w:id="0"/>
            <w:r>
              <w:rPr>
                <w:rFonts w:hint="eastAsia" w:ascii="宋体" w:hAnsi="宋体" w:eastAsia="宋体" w:cs="宋体"/>
                <w:i w:val="0"/>
                <w:iCs w:val="0"/>
                <w:color w:val="000000"/>
                <w:kern w:val="0"/>
                <w:sz w:val="24"/>
                <w:szCs w:val="24"/>
                <w:u w:val="none"/>
                <w:lang w:val="en-US" w:eastAsia="zh-CN" w:bidi="ar"/>
              </w:rPr>
              <w:t xml:space="preserve">2.10 </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sz w:val="24"/>
                <w:szCs w:val="24"/>
              </w:rPr>
              <w:t>牵引床做成角运动时，下床面上下摆动，当下床面向上摆动时，下床面与水平面夹角为20°±</w:t>
            </w:r>
            <w:r>
              <w:rPr>
                <w:rFonts w:ascii="宋体" w:hAnsi="宋体" w:eastAsia="宋体"/>
                <w:sz w:val="24"/>
                <w:szCs w:val="24"/>
              </w:rPr>
              <w:t>2</w:t>
            </w:r>
            <w:r>
              <w:rPr>
                <w:rFonts w:hint="eastAsia" w:ascii="宋体" w:hAnsi="宋体" w:eastAsia="宋体"/>
                <w:sz w:val="24"/>
                <w:szCs w:val="24"/>
              </w:rPr>
              <w:t>°； 当下床面向下摆动时，下床面与水平面夹角为10°±2°</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2.11 </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sz w:val="24"/>
                <w:szCs w:val="24"/>
              </w:rPr>
              <w:t>牵引床做旋转运动时，下床面左右旋转，下床面与水平面夹角为25°±2°</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2.12 </w:t>
            </w:r>
          </w:p>
        </w:tc>
        <w:tc>
          <w:tcPr>
            <w:tcW w:w="7816" w:type="dxa"/>
            <w:vAlign w:val="top"/>
          </w:tcPr>
          <w:p>
            <w:pPr>
              <w:pStyle w:val="17"/>
              <w:numPr>
                <w:ilvl w:val="0"/>
                <w:numId w:val="0"/>
              </w:numPr>
              <w:spacing w:line="360" w:lineRule="auto"/>
              <w:ind w:left="0" w:leftChars="0" w:firstLine="0" w:firstLineChars="0"/>
              <w:rPr>
                <w:rFonts w:hint="eastAsia" w:ascii="宋体" w:hAnsi="宋体"/>
                <w:color w:val="FF0000"/>
                <w:sz w:val="24"/>
                <w:szCs w:val="24"/>
              </w:rPr>
            </w:pPr>
            <w:r>
              <w:rPr>
                <w:rFonts w:hint="eastAsia" w:ascii="宋体" w:hAnsi="宋体" w:eastAsia="宋体"/>
                <w:bCs/>
                <w:sz w:val="24"/>
                <w:szCs w:val="24"/>
              </w:rPr>
              <w:t>牵引床下床面做侧摆运动时，床面两侧侧摆时与床面轴线夹角为</w:t>
            </w:r>
            <w:r>
              <w:rPr>
                <w:rFonts w:ascii="宋体" w:hAnsi="宋体" w:eastAsia="宋体"/>
                <w:bCs/>
                <w:sz w:val="24"/>
                <w:szCs w:val="24"/>
              </w:rPr>
              <w:t>20°±2°；</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Theme="minorEastAsia" w:hAnsiTheme="minorEastAsia" w:eastAsiaTheme="minorEastAsia" w:cstheme="minorEastAsia"/>
                <w:sz w:val="24"/>
                <w:szCs w:val="24"/>
              </w:rPr>
              <w:t>★</w:t>
            </w:r>
            <w:r>
              <w:rPr>
                <w:rFonts w:hint="eastAsia" w:ascii="宋体" w:hAnsi="宋体" w:eastAsia="宋体" w:cs="宋体"/>
                <w:i w:val="0"/>
                <w:iCs w:val="0"/>
                <w:color w:val="000000"/>
                <w:kern w:val="0"/>
                <w:sz w:val="24"/>
                <w:szCs w:val="24"/>
                <w:u w:val="none"/>
                <w:lang w:val="en-US" w:eastAsia="zh-CN" w:bidi="ar"/>
              </w:rPr>
              <w:t xml:space="preserve">2.13 </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bCs/>
                <w:sz w:val="24"/>
                <w:szCs w:val="24"/>
              </w:rPr>
              <w:t>旋转暂停时间：</w:t>
            </w:r>
            <w:r>
              <w:rPr>
                <w:rFonts w:ascii="宋体" w:hAnsi="宋体" w:eastAsia="宋体"/>
                <w:bCs/>
                <w:sz w:val="24"/>
                <w:szCs w:val="24"/>
              </w:rPr>
              <w:t xml:space="preserve">0-20s  侧摆暂停时间：0-20s  </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2.14</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sz w:val="24"/>
                <w:szCs w:val="24"/>
              </w:rPr>
              <w:t>计算机显示牵引力、牵引时间，间歇时间等治疗参数，直观、清晰</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2.15</w:t>
            </w:r>
          </w:p>
        </w:tc>
        <w:tc>
          <w:tcPr>
            <w:tcW w:w="781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sz w:val="24"/>
                <w:szCs w:val="24"/>
              </w:rPr>
              <w:t>采用进口低噪音直线电机，使用寿命长，性能更稳定</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highlight w:val="none"/>
                <w:lang w:val="en-US" w:eastAsia="zh-CN"/>
              </w:rPr>
            </w:pPr>
            <w:r>
              <w:rPr>
                <w:rFonts w:hint="eastAsia" w:ascii="宋体" w:hAnsi="宋体" w:cs="宋体"/>
                <w:i w:val="0"/>
                <w:iCs w:val="0"/>
                <w:color w:val="000000"/>
                <w:kern w:val="0"/>
                <w:sz w:val="24"/>
                <w:szCs w:val="24"/>
                <w:u w:val="none"/>
                <w:lang w:val="en-US" w:eastAsia="zh-CN" w:bidi="ar"/>
              </w:rPr>
              <w:t>2.16</w:t>
            </w:r>
          </w:p>
        </w:tc>
        <w:tc>
          <w:tcPr>
            <w:tcW w:w="781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highlight w:val="none"/>
              </w:rPr>
            </w:pPr>
            <w:r>
              <w:rPr>
                <w:rFonts w:hint="eastAsia" w:ascii="宋体" w:hAnsi="宋体" w:eastAsia="宋体"/>
                <w:sz w:val="24"/>
                <w:szCs w:val="24"/>
              </w:rPr>
              <w:t>计算机控制牵引力、牵引时间，牵引力能自动补偿</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2.17</w:t>
            </w:r>
          </w:p>
        </w:tc>
        <w:tc>
          <w:tcPr>
            <w:tcW w:w="781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sz w:val="24"/>
                <w:szCs w:val="24"/>
              </w:rPr>
              <w:t>牵引力的调节系统为闭环系统，牵引力误差不超过预设值的±20%</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2.18</w:t>
            </w:r>
          </w:p>
        </w:tc>
        <w:tc>
          <w:tcPr>
            <w:tcW w:w="781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sz w:val="24"/>
                <w:szCs w:val="24"/>
              </w:rPr>
              <w:t>系统提供</w:t>
            </w:r>
            <w:r>
              <w:rPr>
                <w:rFonts w:ascii="宋体" w:hAnsi="宋体" w:eastAsia="宋体"/>
                <w:sz w:val="24"/>
                <w:szCs w:val="24"/>
              </w:rPr>
              <w:t>八种牵引模式,既可持续牵引,也可间歇牵引</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2.19</w:t>
            </w:r>
          </w:p>
        </w:tc>
        <w:tc>
          <w:tcPr>
            <w:tcW w:w="781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sz w:val="24"/>
                <w:szCs w:val="24"/>
              </w:rPr>
              <w:t>具有纵向牵引、上下成角牵引、左右旋转牵引、水平侧摆牵引（即四维牵引）；既可单一牵引，也可组合牵引</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w:t>
            </w:r>
            <w:r>
              <w:rPr>
                <w:rFonts w:hint="eastAsia" w:ascii="宋体" w:hAnsi="宋体" w:cs="宋体"/>
                <w:i w:val="0"/>
                <w:iCs w:val="0"/>
                <w:color w:val="000000"/>
                <w:kern w:val="0"/>
                <w:sz w:val="24"/>
                <w:szCs w:val="24"/>
                <w:u w:val="none"/>
                <w:lang w:val="en-US" w:eastAsia="zh-CN" w:bidi="ar"/>
              </w:rPr>
              <w:t>2.20</w:t>
            </w:r>
          </w:p>
        </w:tc>
        <w:tc>
          <w:tcPr>
            <w:tcW w:w="781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sz w:val="24"/>
                <w:szCs w:val="24"/>
              </w:rPr>
              <w:t>系统可储存无数个病历档案，每个病例治疗参数可随时读取，方便临床工作的开展与研究</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2.21</w:t>
            </w:r>
          </w:p>
        </w:tc>
        <w:tc>
          <w:tcPr>
            <w:tcW w:w="781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szCs w:val="24"/>
              </w:rPr>
              <w:t>设备既有供患者操作的手持式急退开关，又有供医师操作的急退键，确保使用安全。</w:t>
            </w:r>
          </w:p>
        </w:tc>
        <w:tc>
          <w:tcPr>
            <w:tcW w:w="895"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895"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895"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895"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895"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5.8</w:t>
            </w:r>
          </w:p>
        </w:tc>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其它优惠条款</w:t>
            </w:r>
          </w:p>
        </w:tc>
        <w:tc>
          <w:tcPr>
            <w:tcW w:w="895" w:type="dxa"/>
            <w:vAlign w:val="top"/>
          </w:tcPr>
          <w:p>
            <w:pPr>
              <w:rPr>
                <w:rFonts w:hint="eastAsia" w:asciiTheme="minorEastAsia" w:hAnsiTheme="minorEastAsia" w:eastAsiaTheme="minorEastAsia" w:cstheme="minorEastAsia"/>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2"/>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9"/>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w:t>
            </w:r>
            <w:r>
              <w:rPr>
                <w:rFonts w:hint="eastAsia" w:asciiTheme="minorEastAsia" w:hAnsiTheme="minorEastAsia" w:cs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eastAsia="宋体" w:asciiTheme="minorEastAsia" w:hAnsiTheme="minorEastAsia" w:cstheme="minorEastAsia"/>
          <w:b/>
          <w:bCs/>
          <w:kern w:val="2"/>
          <w:sz w:val="32"/>
          <w:szCs w:val="32"/>
          <w:lang w:val="en-US" w:eastAsia="zh-CN" w:bidi="ar-SA"/>
        </w:rPr>
      </w:pPr>
      <w:r>
        <w:rPr>
          <w:rStyle w:val="12"/>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4"/>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3"/>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9"/>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6"/>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6"/>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6"/>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6"/>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6"/>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4"/>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4"/>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7"/>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7"/>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7"/>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7"/>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3"/>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7"/>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7"/>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7"/>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4"/>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4"/>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4"/>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7"/>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7"/>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3"/>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7"/>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7"/>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7"/>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7"/>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7"/>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7"/>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7"/>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7"/>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7"/>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7"/>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7"/>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7"/>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7"/>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7"/>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7"/>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7"/>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7"/>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7"/>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3"/>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7"/>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7"/>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7"/>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4"/>
        <w:rPr>
          <w:sz w:val="20"/>
        </w:rPr>
      </w:pPr>
    </w:p>
    <w:tbl>
      <w:tblPr>
        <w:tblStyle w:val="9"/>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757B7D"/>
    <w:rsid w:val="02B15ED7"/>
    <w:rsid w:val="032B7EBE"/>
    <w:rsid w:val="037819C8"/>
    <w:rsid w:val="04165086"/>
    <w:rsid w:val="04BC738C"/>
    <w:rsid w:val="06BF4ECA"/>
    <w:rsid w:val="079468F0"/>
    <w:rsid w:val="0A277157"/>
    <w:rsid w:val="0A323667"/>
    <w:rsid w:val="0B691EBF"/>
    <w:rsid w:val="0D6B27A0"/>
    <w:rsid w:val="0D737863"/>
    <w:rsid w:val="0E151C37"/>
    <w:rsid w:val="0F2416D7"/>
    <w:rsid w:val="103E3259"/>
    <w:rsid w:val="10827943"/>
    <w:rsid w:val="113D1317"/>
    <w:rsid w:val="11D15B1C"/>
    <w:rsid w:val="11D56F8A"/>
    <w:rsid w:val="129A029D"/>
    <w:rsid w:val="12C9410A"/>
    <w:rsid w:val="146D1EE3"/>
    <w:rsid w:val="14C02644"/>
    <w:rsid w:val="157B401A"/>
    <w:rsid w:val="165B3C1A"/>
    <w:rsid w:val="17453125"/>
    <w:rsid w:val="184F31D7"/>
    <w:rsid w:val="18CC2819"/>
    <w:rsid w:val="1A2E6DE6"/>
    <w:rsid w:val="1D4821A9"/>
    <w:rsid w:val="1D4E0F3D"/>
    <w:rsid w:val="202B56B1"/>
    <w:rsid w:val="22723315"/>
    <w:rsid w:val="22CF7097"/>
    <w:rsid w:val="230A4103"/>
    <w:rsid w:val="232E51F6"/>
    <w:rsid w:val="23884864"/>
    <w:rsid w:val="27082DFB"/>
    <w:rsid w:val="27E45486"/>
    <w:rsid w:val="27EA63FC"/>
    <w:rsid w:val="2B057E38"/>
    <w:rsid w:val="2BA52826"/>
    <w:rsid w:val="2D7F5632"/>
    <w:rsid w:val="2EB05F76"/>
    <w:rsid w:val="2FBD42B3"/>
    <w:rsid w:val="3005551A"/>
    <w:rsid w:val="30D412A1"/>
    <w:rsid w:val="30E84F1F"/>
    <w:rsid w:val="316641F0"/>
    <w:rsid w:val="31F8416E"/>
    <w:rsid w:val="32CE7A3F"/>
    <w:rsid w:val="32F87A34"/>
    <w:rsid w:val="33951D5C"/>
    <w:rsid w:val="34117E05"/>
    <w:rsid w:val="351B0D6F"/>
    <w:rsid w:val="35633FD8"/>
    <w:rsid w:val="37C66C9B"/>
    <w:rsid w:val="391D40AF"/>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A254910"/>
    <w:rsid w:val="4B956476"/>
    <w:rsid w:val="4CB07F6D"/>
    <w:rsid w:val="4D3D3121"/>
    <w:rsid w:val="4DCB17F7"/>
    <w:rsid w:val="4DE87B3D"/>
    <w:rsid w:val="53423D16"/>
    <w:rsid w:val="534B0A6F"/>
    <w:rsid w:val="539D45B7"/>
    <w:rsid w:val="53CA557A"/>
    <w:rsid w:val="545A32FC"/>
    <w:rsid w:val="547D6E0D"/>
    <w:rsid w:val="58271B3B"/>
    <w:rsid w:val="584110E8"/>
    <w:rsid w:val="587C329C"/>
    <w:rsid w:val="595B205E"/>
    <w:rsid w:val="5A4777C5"/>
    <w:rsid w:val="5A6E001E"/>
    <w:rsid w:val="5DEC7787"/>
    <w:rsid w:val="5DFE7766"/>
    <w:rsid w:val="60F93F09"/>
    <w:rsid w:val="63BC0FCC"/>
    <w:rsid w:val="652105FA"/>
    <w:rsid w:val="65FA50C1"/>
    <w:rsid w:val="68220405"/>
    <w:rsid w:val="683E0693"/>
    <w:rsid w:val="685E7C65"/>
    <w:rsid w:val="68AB5C34"/>
    <w:rsid w:val="698F00A6"/>
    <w:rsid w:val="6A800692"/>
    <w:rsid w:val="6BF3478F"/>
    <w:rsid w:val="6DE10695"/>
    <w:rsid w:val="6E6658CD"/>
    <w:rsid w:val="6F1A55B9"/>
    <w:rsid w:val="70E11AE1"/>
    <w:rsid w:val="711B411C"/>
    <w:rsid w:val="7392213F"/>
    <w:rsid w:val="739F5CC0"/>
    <w:rsid w:val="748F3673"/>
    <w:rsid w:val="772F4719"/>
    <w:rsid w:val="773504DF"/>
    <w:rsid w:val="78667688"/>
    <w:rsid w:val="7A192AA7"/>
    <w:rsid w:val="7B395E66"/>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qFormat/>
    <w:uiPriority w:val="20"/>
    <w:rPr>
      <w:i/>
      <w:iCs/>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7">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8">
    <w:name w:val="NormalCharacter"/>
    <w:semiHidden/>
    <w:qFormat/>
    <w:uiPriority w:val="0"/>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41"/>
    <w:basedOn w:val="11"/>
    <w:qFormat/>
    <w:uiPriority w:val="0"/>
    <w:rPr>
      <w:rFonts w:hint="eastAsia" w:ascii="宋体" w:hAnsi="宋体" w:eastAsia="宋体" w:cs="宋体"/>
      <w:b/>
      <w:bCs/>
      <w:color w:val="000000"/>
      <w:sz w:val="24"/>
      <w:szCs w:val="24"/>
      <w:u w:val="none"/>
    </w:rPr>
  </w:style>
  <w:style w:type="character" w:customStyle="1" w:styleId="22">
    <w:name w:val="标题 1 字符"/>
    <w:basedOn w:val="11"/>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6965</Words>
  <Characters>7224</Characters>
  <Lines>6</Lines>
  <Paragraphs>1</Paragraphs>
  <TotalTime>0</TotalTime>
  <ScaleCrop>false</ScaleCrop>
  <LinksUpToDate>false</LinksUpToDate>
  <CharactersWithSpaces>7734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Administrator</cp:lastModifiedBy>
  <dcterms:modified xsi:type="dcterms:W3CDTF">2022-05-10T03:09:24Z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