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1"/>
          <w:rFonts w:hint="eastAsia" w:asciiTheme="minorEastAsia" w:hAnsiTheme="minorEastAsia" w:eastAsiaTheme="minorEastAsia" w:cstheme="minorEastAsia"/>
          <w:b/>
          <w:bCs/>
          <w:sz w:val="32"/>
          <w:szCs w:val="32"/>
          <w:lang w:val="en-US" w:eastAsia="zh-CN"/>
        </w:rPr>
      </w:pPr>
      <w:r>
        <w:rPr>
          <w:rStyle w:val="11"/>
          <w:rFonts w:hint="eastAsia" w:asciiTheme="minorEastAsia" w:hAnsiTheme="minorEastAsia" w:eastAsiaTheme="minorEastAsia" w:cstheme="minorEastAsia"/>
          <w:b/>
          <w:bCs/>
          <w:sz w:val="36"/>
          <w:szCs w:val="36"/>
          <w:lang w:val="en-US" w:eastAsia="zh-CN"/>
        </w:rPr>
        <w:t>温州市中医院关于医用冷藏箱项目的招标</w:t>
      </w:r>
    </w:p>
    <w:p>
      <w:pPr>
        <w:numPr>
          <w:ilvl w:val="0"/>
          <w:numId w:val="1"/>
        </w:numPr>
        <w:jc w:val="both"/>
        <w:rPr>
          <w:rStyle w:val="11"/>
          <w:rFonts w:hint="eastAsia" w:asciiTheme="minorEastAsia" w:hAnsiTheme="minorEastAsia" w:eastAsiaTheme="minorEastAsia" w:cstheme="minorEastAsia"/>
          <w:b/>
          <w:bCs/>
          <w:sz w:val="32"/>
          <w:szCs w:val="32"/>
        </w:rPr>
      </w:pPr>
      <w:r>
        <w:rPr>
          <w:rStyle w:val="11"/>
          <w:rFonts w:hint="eastAsia" w:asciiTheme="minorEastAsia" w:hAnsiTheme="minorEastAsia" w:eastAsiaTheme="minorEastAsia" w:cstheme="minorEastAsia"/>
          <w:b/>
          <w:bCs/>
          <w:sz w:val="32"/>
          <w:szCs w:val="32"/>
        </w:rPr>
        <w:t>项目基本情况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2295"/>
        <w:gridCol w:w="2861"/>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5" w:type="dxa"/>
            <w:gridSpan w:val="2"/>
          </w:tcPr>
          <w:p>
            <w:pPr>
              <w:jc w:val="both"/>
              <w:rPr>
                <w:rFonts w:hint="eastAsia" w:asciiTheme="minorEastAsia" w:hAnsiTheme="minorEastAsia" w:eastAsiaTheme="minorEastAsia" w:cstheme="minorEastAsia"/>
                <w:b w:val="0"/>
                <w:bCs w:val="0"/>
                <w:sz w:val="24"/>
                <w:szCs w:val="24"/>
                <w:vertAlign w:val="baseline"/>
                <w:lang w:val="en-US"/>
              </w:rPr>
            </w:pPr>
            <w:r>
              <w:rPr>
                <w:rFonts w:hint="eastAsia" w:asciiTheme="minorEastAsia" w:hAnsiTheme="minorEastAsia" w:eastAsiaTheme="minorEastAsia" w:cstheme="minorEastAsia"/>
                <w:b w:val="0"/>
                <w:bCs w:val="0"/>
                <w:sz w:val="24"/>
                <w:szCs w:val="24"/>
              </w:rPr>
              <w:t>项目编号：</w:t>
            </w:r>
            <w:r>
              <w:rPr>
                <w:rFonts w:hint="eastAsia" w:asciiTheme="minorEastAsia" w:hAnsiTheme="minorEastAsia" w:eastAsiaTheme="minorEastAsia" w:cstheme="minorEastAsia"/>
                <w:sz w:val="24"/>
                <w:szCs w:val="24"/>
                <w:vertAlign w:val="baseline"/>
                <w:lang w:val="en-US" w:eastAsia="zh-CN"/>
              </w:rPr>
              <w:t>2022-sb-cg-005</w:t>
            </w:r>
          </w:p>
        </w:tc>
        <w:tc>
          <w:tcPr>
            <w:tcW w:w="5183" w:type="dxa"/>
            <w:gridSpan w:val="2"/>
          </w:tcPr>
          <w:p>
            <w:pPr>
              <w:jc w:val="both"/>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rPr>
              <w:t>项目名称：</w:t>
            </w:r>
            <w:r>
              <w:rPr>
                <w:rFonts w:hint="eastAsia" w:asciiTheme="minorEastAsia" w:hAnsiTheme="minorEastAsia" w:eastAsiaTheme="minorEastAsia" w:cstheme="minorEastAsia"/>
                <w:b w:val="0"/>
                <w:bCs w:val="0"/>
                <w:sz w:val="24"/>
                <w:szCs w:val="24"/>
                <w:lang w:eastAsia="zh-CN"/>
              </w:rPr>
              <w:t>医用冷藏箱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0" w:type="dxa"/>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lang w:eastAsia="zh-CN"/>
              </w:rPr>
              <w:t>标项一</w:t>
            </w:r>
          </w:p>
        </w:tc>
        <w:tc>
          <w:tcPr>
            <w:tcW w:w="2295" w:type="dxa"/>
          </w:tcPr>
          <w:p>
            <w:pPr>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eastAsiaTheme="minorEastAsia" w:cstheme="minorEastAsia"/>
                <w:b w:val="0"/>
                <w:bCs w:val="0"/>
                <w:sz w:val="24"/>
                <w:szCs w:val="24"/>
                <w:lang w:val="en-US" w:eastAsia="zh-CN"/>
              </w:rPr>
              <w:t>1台</w:t>
            </w:r>
          </w:p>
        </w:tc>
        <w:tc>
          <w:tcPr>
            <w:tcW w:w="2861" w:type="dxa"/>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eastAsia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sz w:val="24"/>
                <w:szCs w:val="24"/>
                <w:lang w:val="en-US" w:eastAsia="zh-CN"/>
              </w:rPr>
              <w:t>2万</w:t>
            </w:r>
          </w:p>
        </w:tc>
        <w:tc>
          <w:tcPr>
            <w:tcW w:w="2322" w:type="dxa"/>
          </w:tcPr>
          <w:p>
            <w:pPr>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eastAsiaTheme="minorEastAsia" w:cstheme="minorEastAsia"/>
                <w:b w:val="0"/>
                <w:bCs w:val="0"/>
                <w:sz w:val="24"/>
                <w:szCs w:val="24"/>
                <w:lang w:eastAsia="zh-CN"/>
              </w:rPr>
              <w:t>总价</w:t>
            </w:r>
            <w:r>
              <w:rPr>
                <w:rFonts w:hint="eastAsia" w:asciiTheme="minorEastAsia" w:hAnsiTheme="minorEastAsia" w:eastAsiaTheme="minorEastAsia" w:cstheme="minorEastAsia"/>
                <w:b w:val="0"/>
                <w:bCs w:val="0"/>
                <w:sz w:val="24"/>
                <w:szCs w:val="24"/>
                <w:lang w:val="en-US" w:eastAsia="zh-CN"/>
              </w:rPr>
              <w:t>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0" w:type="dxa"/>
          </w:tcPr>
          <w:p>
            <w:pPr>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标项二</w:t>
            </w:r>
          </w:p>
        </w:tc>
        <w:tc>
          <w:tcPr>
            <w:tcW w:w="2295" w:type="dxa"/>
          </w:tcPr>
          <w:p>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eastAsiaTheme="minorEastAsia" w:cstheme="minorEastAsia"/>
                <w:b w:val="0"/>
                <w:bCs w:val="0"/>
                <w:sz w:val="24"/>
                <w:szCs w:val="24"/>
                <w:lang w:val="en-US" w:eastAsia="zh-CN"/>
              </w:rPr>
              <w:t>1台</w:t>
            </w:r>
          </w:p>
        </w:tc>
        <w:tc>
          <w:tcPr>
            <w:tcW w:w="2861" w:type="dxa"/>
          </w:tcPr>
          <w:p>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eastAsia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sz w:val="24"/>
                <w:szCs w:val="24"/>
                <w:lang w:val="en-US" w:eastAsia="zh-CN"/>
              </w:rPr>
              <w:t>1.9万</w:t>
            </w:r>
          </w:p>
        </w:tc>
        <w:tc>
          <w:tcPr>
            <w:tcW w:w="2322" w:type="dxa"/>
          </w:tcPr>
          <w:p>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eastAsiaTheme="minorEastAsia" w:cstheme="minorEastAsia"/>
                <w:b w:val="0"/>
                <w:bCs w:val="0"/>
                <w:sz w:val="24"/>
                <w:szCs w:val="24"/>
                <w:lang w:eastAsia="zh-CN"/>
              </w:rPr>
              <w:t>总价</w:t>
            </w:r>
            <w:r>
              <w:rPr>
                <w:rFonts w:hint="eastAsia" w:asciiTheme="minorEastAsia" w:hAnsiTheme="minorEastAsia" w:eastAsiaTheme="minorEastAsia" w:cstheme="minorEastAsia"/>
                <w:b w:val="0"/>
                <w:bCs w:val="0"/>
                <w:sz w:val="24"/>
                <w:szCs w:val="24"/>
                <w:lang w:val="en-US" w:eastAsia="zh-CN"/>
              </w:rPr>
              <w:t>1.9万元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10" w:type="dxa"/>
          </w:tcPr>
          <w:p>
            <w:pPr>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标项三</w:t>
            </w:r>
          </w:p>
        </w:tc>
        <w:tc>
          <w:tcPr>
            <w:tcW w:w="2295" w:type="dxa"/>
          </w:tcPr>
          <w:p>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数量:</w:t>
            </w:r>
            <w:r>
              <w:rPr>
                <w:rFonts w:hint="eastAsia" w:asciiTheme="minorEastAsia" w:hAnsiTheme="minorEastAsia" w:eastAsiaTheme="minorEastAsia" w:cstheme="minorEastAsia"/>
                <w:b w:val="0"/>
                <w:bCs w:val="0"/>
                <w:sz w:val="24"/>
                <w:szCs w:val="24"/>
                <w:lang w:val="en-US" w:eastAsia="zh-CN"/>
              </w:rPr>
              <w:t>5台</w:t>
            </w:r>
          </w:p>
        </w:tc>
        <w:tc>
          <w:tcPr>
            <w:tcW w:w="2861" w:type="dxa"/>
          </w:tcPr>
          <w:p>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eastAsiaTheme="minorEastAsia" w:cstheme="minorEastAsia"/>
                <w:b w:val="0"/>
                <w:bCs w:val="0"/>
                <w:sz w:val="24"/>
                <w:szCs w:val="24"/>
                <w:lang w:val="en-US" w:eastAsia="zh-CN"/>
              </w:rPr>
              <w:t>单价</w:t>
            </w:r>
            <w:r>
              <w:rPr>
                <w:rFonts w:hint="eastAsia" w:asciiTheme="minorEastAsia" w:hAnsiTheme="minorEastAsia" w:eastAsiaTheme="minorEastAsia" w:cstheme="minorEastAsia"/>
                <w:b w:val="0"/>
                <w:bCs w:val="0"/>
                <w:sz w:val="24"/>
                <w:szCs w:val="24"/>
              </w:rPr>
              <w:t>（元）:</w:t>
            </w:r>
            <w:r>
              <w:rPr>
                <w:rFonts w:hint="eastAsia" w:asciiTheme="minorEastAsia" w:hAnsiTheme="minorEastAsia" w:eastAsiaTheme="minorEastAsia" w:cstheme="minorEastAsia"/>
                <w:b w:val="0"/>
                <w:bCs w:val="0"/>
                <w:sz w:val="24"/>
                <w:szCs w:val="24"/>
                <w:lang w:val="en-US" w:eastAsia="zh-CN"/>
              </w:rPr>
              <w:t>2.7万</w:t>
            </w:r>
          </w:p>
        </w:tc>
        <w:tc>
          <w:tcPr>
            <w:tcW w:w="2322" w:type="dxa"/>
          </w:tcPr>
          <w:p>
            <w:pPr>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预算</w:t>
            </w:r>
            <w:r>
              <w:rPr>
                <w:rFonts w:hint="eastAsia" w:asciiTheme="minorEastAsia" w:hAnsiTheme="minorEastAsia" w:eastAsiaTheme="minorEastAsia" w:cstheme="minorEastAsia"/>
                <w:b w:val="0"/>
                <w:bCs w:val="0"/>
                <w:sz w:val="24"/>
                <w:szCs w:val="24"/>
                <w:lang w:eastAsia="zh-CN"/>
              </w:rPr>
              <w:t>总价</w:t>
            </w:r>
            <w:r>
              <w:rPr>
                <w:rFonts w:hint="eastAsia" w:asciiTheme="minorEastAsia" w:hAnsiTheme="minorEastAsia" w:eastAsiaTheme="minorEastAsia" w:cstheme="minorEastAsia"/>
                <w:b w:val="0"/>
                <w:bCs w:val="0"/>
                <w:sz w:val="24"/>
                <w:szCs w:val="24"/>
                <w:lang w:val="en-US" w:eastAsia="zh-CN"/>
              </w:rPr>
              <w:t>13.5万元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eastAsia" w:asciiTheme="minorEastAsia" w:hAnsiTheme="minorEastAsia" w:eastAsiaTheme="minorEastAsia" w:cstheme="minorEastAsia"/>
                <w:b w:val="0"/>
                <w:bCs w:val="0"/>
                <w:sz w:val="24"/>
                <w:szCs w:val="24"/>
                <w:vertAlign w:val="baseline"/>
              </w:rPr>
            </w:pPr>
            <w:r>
              <w:rPr>
                <w:rFonts w:hint="eastAsia" w:asciiTheme="minorEastAsia" w:hAnsiTheme="minorEastAsia" w:eastAsiaTheme="minorEastAsia" w:cstheme="minorEastAsia"/>
                <w:sz w:val="24"/>
                <w:szCs w:val="24"/>
              </w:rPr>
              <w:t>简要规格描述或项目基本概况介绍、用途：</w:t>
            </w:r>
            <w:r>
              <w:rPr>
                <w:rStyle w:val="18"/>
                <w:rFonts w:hint="eastAsia" w:asciiTheme="minorEastAsia" w:hAnsiTheme="minorEastAsia" w:eastAsiaTheme="minorEastAsia" w:cstheme="minorEastAsia"/>
                <w:lang w:val="en-US" w:eastAsia="zh-CN" w:bidi="ar"/>
              </w:rPr>
              <w:t>用于储存生物制品、疫苗、药品、试剂等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sz w:val="24"/>
                <w:szCs w:val="24"/>
              </w:rPr>
              <w:t>备注：</w:t>
            </w:r>
            <w:r>
              <w:rPr>
                <w:rFonts w:hint="eastAsia" w:asciiTheme="minorEastAsia" w:hAnsiTheme="minorEastAsia" w:eastAsiaTheme="minorEastAsia" w:cstheme="minorEastAsia"/>
                <w:color w:val="auto"/>
                <w:sz w:val="24"/>
                <w:szCs w:val="24"/>
                <w:lang w:val="en-US" w:eastAsia="zh-CN"/>
              </w:rPr>
              <w:t>国产</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1"/>
          <w:rFonts w:hint="eastAsia" w:asciiTheme="minorEastAsia" w:hAnsiTheme="minorEastAsia" w:eastAsiaTheme="minorEastAsia" w:cstheme="minorEastAsia"/>
          <w:b/>
          <w:bCs/>
          <w:sz w:val="32"/>
          <w:szCs w:val="32"/>
          <w:lang w:val="en-US" w:eastAsia="zh-CN"/>
        </w:rPr>
      </w:pPr>
      <w:r>
        <w:rPr>
          <w:rStyle w:val="11"/>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本项目我院采取院内组织公开招标的方式，以综合评分最高者中标的原则确定中标供应商。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获取招标文件</w:t>
      </w:r>
    </w:p>
    <w:p>
      <w:pPr>
        <w:pStyle w:val="6"/>
        <w:keepNext w:val="0"/>
        <w:keepLines w:val="0"/>
        <w:widowControl/>
        <w:suppressLineNumbers w:val="0"/>
        <w:spacing w:line="300" w:lineRule="atLeast"/>
        <w:rPr>
          <w:rFonts w:hint="eastAsia" w:asciiTheme="minorEastAsia" w:hAnsiTheme="minorEastAsia" w:eastAsiaTheme="minorEastAsia" w:cstheme="minorEastAsia"/>
          <w:kern w:val="2"/>
          <w:sz w:val="24"/>
          <w:szCs w:val="24"/>
          <w:highlight w:val="yellow"/>
          <w:lang w:val="en-US" w:eastAsia="zh-CN" w:bidi="ar-SA"/>
        </w:rPr>
      </w:pPr>
      <w:r>
        <w:rPr>
          <w:rFonts w:hint="eastAsia" w:asciiTheme="minorEastAsia" w:hAnsiTheme="minorEastAsia" w:eastAsiaTheme="minorEastAsia" w:cstheme="minorEastAsia"/>
          <w:kern w:val="2"/>
          <w:sz w:val="24"/>
          <w:szCs w:val="24"/>
          <w:lang w:val="en-US" w:eastAsia="zh-CN" w:bidi="ar-SA"/>
        </w:rPr>
        <w:t>地点（网址）</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Cs w:val="24"/>
          <w:highlight w:val="none"/>
          <w:lang w:eastAsia="zh-CN"/>
        </w:rPr>
        <w:t>h</w:t>
      </w:r>
      <w:r>
        <w:rPr>
          <w:rFonts w:hint="eastAsia" w:asciiTheme="minorEastAsia" w:hAnsiTheme="minorEastAsia" w:eastAsiaTheme="minorEastAsia" w:cstheme="minorEastAsia"/>
          <w:kern w:val="2"/>
          <w:szCs w:val="24"/>
          <w:lang w:eastAsia="zh-CN"/>
        </w:rPr>
        <w:t>ttp://www.wzszyy.com/</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val="0"/>
          <w:bCs w:val="0"/>
          <w:kern w:val="2"/>
          <w:sz w:val="32"/>
          <w:szCs w:val="32"/>
          <w:lang w:val="en-US" w:eastAsia="zh-CN" w:bidi="ar-SA"/>
        </w:rPr>
      </w:pPr>
      <w:r>
        <w:rPr>
          <w:rStyle w:val="11"/>
          <w:rFonts w:hint="eastAsia" w:asciiTheme="minorEastAsia" w:hAnsiTheme="minorEastAsia" w:eastAsiaTheme="minorEastAsia" w:cstheme="minorEastAsia"/>
          <w:b w:val="0"/>
          <w:bCs w:val="0"/>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提交投标文件截止时间：2022年5月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日下午14：00（北京时间）</w:t>
      </w:r>
      <w:r>
        <w:rPr>
          <w:rFonts w:hint="eastAsia" w:asciiTheme="minorEastAsia" w:hAnsiTheme="minorEastAsia" w:eastAsiaTheme="minorEastAsia" w:cstheme="minorEastAsia"/>
          <w:kern w:val="2"/>
          <w:sz w:val="24"/>
          <w:szCs w:val="24"/>
          <w:lang w:val="en-US" w:eastAsia="zh-CN" w:bidi="ar-SA"/>
        </w:rPr>
        <w:br w:type="textWrapping"/>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开标时间：2022年5月</w:t>
      </w:r>
      <w:r>
        <w:rPr>
          <w:rFonts w:hint="eastAsia" w:asciiTheme="minorEastAsia" w:hAnsiTheme="minorEastAsia" w:cstheme="minorEastAsia"/>
          <w:kern w:val="2"/>
          <w:sz w:val="24"/>
          <w:szCs w:val="24"/>
          <w:lang w:val="en-US" w:eastAsia="zh-CN" w:bidi="ar-SA"/>
        </w:rPr>
        <w:t>13</w:t>
      </w:r>
      <w:r>
        <w:rPr>
          <w:rFonts w:hint="eastAsia" w:asciiTheme="minorEastAsia" w:hAnsiTheme="minorEastAsia" w:eastAsiaTheme="minorEastAsia" w:cstheme="minorEastAsia"/>
          <w:kern w:val="2"/>
          <w:sz w:val="24"/>
          <w:szCs w:val="24"/>
          <w:lang w:val="en-US" w:eastAsia="zh-CN" w:bidi="ar-SA"/>
        </w:rPr>
        <w:t>日下午14：</w:t>
      </w:r>
      <w:bookmarkStart w:id="0" w:name="_GoBack"/>
      <w:bookmarkEnd w:id="0"/>
      <w:r>
        <w:rPr>
          <w:rFonts w:hint="eastAsia" w:asciiTheme="minorEastAsia" w:hAnsiTheme="minorEastAsia" w:eastAsiaTheme="minorEastAsia" w:cstheme="minorEastAsia"/>
          <w:kern w:val="2"/>
          <w:sz w:val="24"/>
          <w:szCs w:val="24"/>
          <w:lang w:val="en-US" w:eastAsia="zh-CN" w:bidi="ar-SA"/>
        </w:rPr>
        <w:t>10（北京时间）</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3、</w:t>
      </w:r>
      <w:r>
        <w:rPr>
          <w:rFonts w:hint="eastAsia" w:asciiTheme="minorEastAsia" w:hAnsiTheme="minorEastAsia" w:eastAsiaTheme="minorEastAsia" w:cstheme="minorEastAsia"/>
          <w:kern w:val="2"/>
          <w:sz w:val="24"/>
          <w:szCs w:val="24"/>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包装要求:投标文件的技术资信标、商务（报价）标分别密封于包封袋中，并在封套的封口处加盖投标人单位章，并由法定代表人或其授权代表签字。</w:t>
      </w:r>
    </w:p>
    <w:p>
      <w:p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投标方式：接受邮寄和现场投递的纸质投标文件</w:t>
      </w:r>
      <w:r>
        <w:rPr>
          <w:rFonts w:hint="eastAsia" w:asciiTheme="minorEastAsia" w:hAnsiTheme="minorEastAsia" w:cstheme="minorEastAsia"/>
          <w:kern w:val="2"/>
          <w:sz w:val="24"/>
          <w:szCs w:val="24"/>
          <w:lang w:val="en-US" w:eastAsia="zh-CN" w:bidi="ar-SA"/>
        </w:rPr>
        <w:t>/</w:t>
      </w:r>
    </w:p>
    <w:p>
      <w:pP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6、</w:t>
      </w:r>
      <w:r>
        <w:rPr>
          <w:rFonts w:hint="eastAsia" w:asciiTheme="minorEastAsia" w:hAnsiTheme="minorEastAsia" w:eastAsiaTheme="minorEastAsia" w:cstheme="minorEastAsia"/>
          <w:kern w:val="2"/>
          <w:sz w:val="24"/>
          <w:szCs w:val="24"/>
          <w:lang w:val="en-US" w:eastAsia="zh-CN" w:bidi="ar-SA"/>
        </w:rPr>
        <w:t>其他:招标文件一式三份，一正两副加盖公章</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公告期限 </w:t>
      </w:r>
    </w:p>
    <w:p>
      <w:pPr>
        <w:pStyle w:val="6"/>
        <w:keepNext w:val="0"/>
        <w:keepLines w:val="0"/>
        <w:widowControl/>
        <w:suppressLineNumbers w:val="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1"/>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417" w:firstLineChars="174"/>
        <w:jc w:val="left"/>
        <w:outlineLvl w:val="2"/>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（一）投标文件的组成</w:t>
      </w:r>
    </w:p>
    <w:p>
      <w:pPr>
        <w:snapToGrid w:val="0"/>
        <w:spacing w:line="360" w:lineRule="auto"/>
        <w:ind w:firstLine="480" w:firstLineChars="200"/>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投标文件由资格证明文件、商务技术文件和报价文件三部份组成</w:t>
      </w:r>
      <w:r>
        <w:rPr>
          <w:rFonts w:hint="eastAsia" w:asciiTheme="minorEastAsia" w:hAnsiTheme="minorEastAsia" w:eastAsiaTheme="minorEastAsia" w:cstheme="minorEastAsia"/>
          <w:b w:val="0"/>
          <w:bCs/>
          <w:sz w:val="24"/>
          <w:szCs w:val="24"/>
          <w:lang w:eastAsia="zh-CN"/>
        </w:rPr>
        <w:t>。</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1.资格证明文件：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（1）投标人资格承诺函；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（2）法人或者其他组织投标的提供营业执照等证明文件，自然人投标的提供身份证明；</w:t>
      </w:r>
    </w:p>
    <w:p>
      <w:pPr>
        <w:snapToGrid w:val="0"/>
        <w:spacing w:before="120" w:beforeLines="50"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 商务技术文件：</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（1）投标人营业执照；</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投标人为医疗器械经营企业的：第三类医疗器械经营企业提供《医疗器械经营许可证》、第二类医疗器械经营企业提供第二类医疗器械经营备案凭证；</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且投标人经备案或许可的经营范围必须包含本次投标的所有医疗器械；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sz w:val="24"/>
          <w:szCs w:val="24"/>
        </w:rPr>
        <w:t>（3）提供食品药品监督管理部门核发的完整有效的医疗器械注册或备案证明；</w:t>
      </w:r>
    </w:p>
    <w:p>
      <w:pPr>
        <w:snapToGrid w:val="0"/>
        <w:spacing w:line="360" w:lineRule="auto"/>
        <w:ind w:firstLine="470" w:firstLineChars="196"/>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▲（4）货物制造商或其它有销售资格（提供证明材料）的供应商出具的授权书（适用于投标人是进口货物代理商的情形）；</w:t>
      </w:r>
    </w:p>
    <w:p>
      <w:pPr>
        <w:snapToGrid w:val="0"/>
        <w:spacing w:line="360" w:lineRule="auto"/>
        <w:ind w:firstLine="470" w:firstLineChars="196"/>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kern w:val="0"/>
          <w:sz w:val="24"/>
          <w:szCs w:val="24"/>
        </w:rPr>
        <w:t>（5）投标声明函</w:t>
      </w:r>
      <w:r>
        <w:rPr>
          <w:rFonts w:hint="eastAsia" w:asciiTheme="minorEastAsia" w:hAnsiTheme="minorEastAsia" w:eastAsiaTheme="minorEastAsia" w:cstheme="minorEastAsia"/>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（6）投标产品一览表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（7）技术响应表；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（8）合同条款响应承诺</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（9）设备配置清单；</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（10）消耗品或易耗品价格； </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（11）售后服务承诺书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（12）业绩证明</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（13）投标人建议的安装、调试、验收方法或方案；</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（14）技术服务、技术培训的内容和措施；</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（15）项目实施人员一览表</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（16）维修能力（详见评分标准要求）；</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（17）投标机型的彩页和原厂技术参数；</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）评分方法中的评审证明文件等；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）投标人认为需要提供的其他文件。</w:t>
      </w:r>
    </w:p>
    <w:p>
      <w:pPr>
        <w:snapToGrid w:val="0"/>
        <w:spacing w:line="360" w:lineRule="auto"/>
        <w:ind w:firstLine="472" w:firstLineChars="196"/>
        <w:jc w:val="left"/>
        <w:rPr>
          <w:rFonts w:hint="eastAsia" w:asciiTheme="minorEastAsia" w:hAnsiTheme="minorEastAsia" w:eastAsiaTheme="minorEastAsia" w:cstheme="minorEastAsia"/>
          <w:b/>
          <w:sz w:val="24"/>
          <w:szCs w:val="24"/>
        </w:rPr>
      </w:pPr>
    </w:p>
    <w:p>
      <w:pPr>
        <w:snapToGrid w:val="0"/>
        <w:spacing w:line="360" w:lineRule="auto"/>
        <w:ind w:firstLine="470" w:firstLineChars="196"/>
        <w:jc w:val="left"/>
        <w:rPr>
          <w:rFonts w:hint="eastAsia"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3.报价文件：</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（1）开标一览表；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（2）投标报价明细表；</w:t>
      </w:r>
    </w:p>
    <w:p>
      <w:pPr>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（3）投标人针对报价需要说明的其他文件和说明（如有）；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（4）中小企业的相关证明材料（如有</w:t>
      </w:r>
      <w:r>
        <w:rPr>
          <w:rFonts w:hint="eastAsia" w:asciiTheme="minorEastAsia" w:hAnsiTheme="minorEastAsia" w:eastAsiaTheme="minorEastAsia" w:cstheme="minorEastAsia"/>
          <w:kern w:val="0"/>
          <w:sz w:val="24"/>
          <w:szCs w:val="24"/>
        </w:rPr>
        <w:t>）；</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（5）残疾人福利性单位声明函(如有）；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（6）由省级以上监狱管理局、戒毒管理局（含新疆生产建设兵团）出具的属于监狱企业的证明文件（如有）。</w:t>
      </w:r>
    </w:p>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商务、技术参数偏离表</w:t>
      </w: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eastAsia" w:asciiTheme="minorEastAsia" w:hAnsiTheme="minorEastAsia" w:eastAsiaTheme="minorEastAsia" w:cstheme="minorEastAsia"/>
          <w:b w:val="0"/>
          <w:bCs w:val="0"/>
          <w:kern w:val="2"/>
          <w:sz w:val="32"/>
          <w:szCs w:val="32"/>
          <w:lang w:val="en-US" w:eastAsia="zh-CN" w:bidi="ar-SA"/>
        </w:rPr>
      </w:pPr>
      <w:r>
        <w:rPr>
          <w:rStyle w:val="11"/>
          <w:rFonts w:hint="eastAsia" w:asciiTheme="minorEastAsia" w:hAnsiTheme="minorEastAsia" w:eastAsiaTheme="minorEastAsia" w:cstheme="minorEastAsia"/>
          <w:b w:val="0"/>
          <w:bCs w:val="0"/>
          <w:kern w:val="2"/>
          <w:sz w:val="32"/>
          <w:szCs w:val="32"/>
          <w:lang w:val="en-US" w:eastAsia="zh-CN" w:bidi="ar-SA"/>
        </w:rPr>
        <w:t>标项一：</w:t>
      </w:r>
    </w:p>
    <w:tbl>
      <w:tblPr>
        <w:tblStyle w:val="9"/>
        <w:tblpPr w:leftFromText="180" w:rightFromText="180" w:vertAnchor="page" w:horzAnchor="page" w:tblpX="1628" w:tblpY="7735"/>
        <w:tblOverlap w:val="never"/>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7335"/>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3856" w:type="pct"/>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758" w:type="pct"/>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p>
        </w:tc>
        <w:tc>
          <w:tcPr>
            <w:tcW w:w="3856" w:type="pct"/>
            <w:vAlign w:val="top"/>
          </w:tcPr>
          <w:p>
            <w:pP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sz w:val="24"/>
                <w:szCs w:val="24"/>
              </w:rPr>
              <w:t>总体要求</w:t>
            </w:r>
          </w:p>
        </w:tc>
        <w:tc>
          <w:tcPr>
            <w:tcW w:w="758" w:type="pct"/>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3856" w:type="pct"/>
          </w:tcPr>
          <w:p>
            <w:pP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采购医用冷藏箱1台</w:t>
            </w:r>
          </w:p>
        </w:tc>
        <w:tc>
          <w:tcPr>
            <w:tcW w:w="758" w:type="pct"/>
          </w:tcPr>
          <w:p>
            <w:pPr>
              <w:spacing w:line="360" w:lineRule="auto"/>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3856" w:type="pct"/>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设备用途：</w:t>
            </w:r>
            <w:r>
              <w:rPr>
                <w:rStyle w:val="18"/>
                <w:rFonts w:hint="eastAsia" w:asciiTheme="minorEastAsia" w:hAnsiTheme="minorEastAsia" w:eastAsiaTheme="minorEastAsia" w:cstheme="minorEastAsia"/>
                <w:lang w:val="en-US" w:eastAsia="zh-CN" w:bidi="ar"/>
              </w:rPr>
              <w:t>用于储存生物制品、疫苗、药品、试剂等</w:t>
            </w:r>
          </w:p>
        </w:tc>
        <w:tc>
          <w:tcPr>
            <w:tcW w:w="758" w:type="pct"/>
          </w:tcPr>
          <w:p>
            <w:pPr>
              <w:spacing w:line="360" w:lineRule="auto"/>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tc>
        <w:tc>
          <w:tcPr>
            <w:tcW w:w="3856" w:type="pct"/>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主要功能要求与技术参数</w:t>
            </w:r>
          </w:p>
        </w:tc>
        <w:tc>
          <w:tcPr>
            <w:tcW w:w="758" w:type="pct"/>
            <w:vAlign w:val="center"/>
          </w:tcPr>
          <w:p>
            <w:pPr>
              <w:snapToGrid w:val="0"/>
              <w:spacing w:line="240" w:lineRule="atLeast"/>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箱内温度控制范围：2℃～8℃，均匀度误差≤3°C。</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立式，单开门，</w:t>
            </w:r>
            <w:r>
              <w:rPr>
                <w:rStyle w:val="19"/>
                <w:rFonts w:hint="eastAsia" w:asciiTheme="minorEastAsia" w:hAnsiTheme="minorEastAsia" w:eastAsiaTheme="minorEastAsia" w:cstheme="minorEastAsia"/>
                <w:lang w:val="en-US" w:eastAsia="zh-CN" w:bidi="ar"/>
              </w:rPr>
              <w:t>整机高度＜2米，保证进门方便。</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2.3</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箱内有效容积≥390L。</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超深箱体设计，产品内部可用空间深度≥550mm。</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产品整机功率不少于300W，以保证产品制冷速度等</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箱体发泡层厚≥50mm，保证保温效果</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数字显示箱内温度，微电脑控制,带电源指示灯，可显示箱内上部、下部温度温度以及平均温度。且温度精度为0.1℃</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可实现超温报警、断电报警、开门报警、传感器故障报警、电池电量低报警. 带远程报警接口。</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配有电池，带有电池电量报警。断电后可声光报警</w:t>
            </w:r>
            <w:r>
              <w:rPr>
                <w:rStyle w:val="19"/>
                <w:rFonts w:hint="eastAsia" w:asciiTheme="minorEastAsia" w:hAnsiTheme="minorEastAsia" w:eastAsiaTheme="minorEastAsia" w:cstheme="minorEastAsia"/>
                <w:lang w:val="en-US" w:eastAsia="zh-CN" w:bidi="ar"/>
              </w:rPr>
              <w:t>24小时以上。断电后并同时显示箱内实时温度。</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2.10 </w:t>
            </w:r>
          </w:p>
        </w:tc>
        <w:tc>
          <w:tcPr>
            <w:tcW w:w="385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传感器数量≥5个。并且箱内上下各一个，可以分别显示箱内上部温度、下部温度和平均温度。</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2.11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采用原装进口压缩机，并提供报关单。配合EBM罩极冷凝风机，保证制冷系统高效可靠。</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2.12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单个电极式电加热玻璃门，实现32℃环温80%湿度条件下无凝露，</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2.13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自关门功能,</w:t>
            </w:r>
            <w:r>
              <w:rPr>
                <w:rStyle w:val="19"/>
                <w:rFonts w:hint="eastAsia" w:asciiTheme="minorEastAsia" w:hAnsiTheme="minorEastAsia" w:eastAsiaTheme="minorEastAsia" w:cstheme="minorEastAsia"/>
                <w:lang w:val="en-US" w:eastAsia="zh-CN" w:bidi="ar"/>
              </w:rPr>
              <w:t xml:space="preserve"> 开门角度小于90°就会自动关门。</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2.14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门体上部配有安全门锁，且门锁是一把钥匙开一把锁结果，防止钥匙串用，保证存储物品的安全。产品左侧带独立锁扣，可加挂锁。产品左下角还有可以额外增加挂锁的锁扣，安全三门锁设计。</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2.15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门体在中间位置附近带有侧锁扣，可以增加挂锁。不能太低或太高，以保证使用方便</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2.16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带有4个移动脚轮和2个止动底脚，门体带有门止档。</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2.17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采用LED照明灯，</w:t>
            </w:r>
            <w:r>
              <w:rPr>
                <w:rStyle w:val="19"/>
                <w:rFonts w:hint="eastAsia" w:asciiTheme="minorEastAsia" w:hAnsiTheme="minorEastAsia" w:eastAsiaTheme="minorEastAsia" w:cstheme="minorEastAsia"/>
                <w:lang w:val="en-US" w:eastAsia="zh-CN" w:bidi="ar"/>
              </w:rPr>
              <w:t>低热、低耗、高亮。</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2.18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所投产品的制造厂家通过ISO9001、ISO13485认证，具有医疗器械生产许可证。</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2.19 </w:t>
            </w:r>
          </w:p>
        </w:tc>
        <w:tc>
          <w:tcPr>
            <w:tcW w:w="385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具有医疗器械注册证，证书上产品型号要求与投标型号完全符合，并提供注册检测报告。</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2.20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采用强制风冷冷凝器，风机选用进口品牌风机配备铝制叶片（列出风机品牌）。</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2.21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采用金属接水盒，冷凝水汇集后自动蒸发，无需人工倒水</w:t>
            </w:r>
          </w:p>
        </w:tc>
        <w:tc>
          <w:tcPr>
            <w:tcW w:w="758" w:type="pct"/>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2.22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配置6个带价目条的搁物架，配合一体吸附成型内胆，无需搁架条即可实现搁架间距可调，保证箱内空间的最大利用率。</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2.23 </w:t>
            </w:r>
          </w:p>
        </w:tc>
        <w:tc>
          <w:tcPr>
            <w:tcW w:w="385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进口品牌风机配合高效冷凝器，保证冷凝效果，提高系统可靠性；</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2.24 </w:t>
            </w:r>
          </w:p>
        </w:tc>
        <w:tc>
          <w:tcPr>
            <w:tcW w:w="385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冷凝器配置过滤网设计，防止灰尘过多造成冷凝器堵塞。</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2.25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双感温包设计，模拟存储物品的表面温度，而非感温探头处空气温度。</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2.26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产品带有≥1个直径25.4mm的测试孔，方便用户监控箱内温度情况和简单设备的接入检测。</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2.27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产品后背配置止推装置。</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2.28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配置防高温机械温控器，保证电脑板出问题以后产品温度不会过高</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2.29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产品可以配置USB接口，每6分钟取一次温度数据，且能保存箱内温度数据10年。</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2.30 </w:t>
            </w:r>
          </w:p>
        </w:tc>
        <w:tc>
          <w:tcPr>
            <w:tcW w:w="3856" w:type="pct"/>
            <w:vAlign w:val="center"/>
          </w:tcPr>
          <w:p>
            <w:pPr>
              <w:keepNext w:val="0"/>
              <w:keepLines w:val="0"/>
              <w:widowControl/>
              <w:suppressLineNumbers w:val="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产品性能可靠，带有TUV性能测试报告，且需提证明材料。</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2.31 </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整机具有环保的Rohs和REACH报告，且需提证明材料。</w:t>
            </w:r>
          </w:p>
        </w:tc>
        <w:tc>
          <w:tcPr>
            <w:tcW w:w="758" w:type="pct"/>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三</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安装验收</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安装地点：医院指定科室；</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安装完成时间：合同签订后1个月内交货，接买方通知后3天内完成安装；</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安装标准：符合我国国家有关技术规范和技术标准；</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验收标准：符合我国国家有关技术规范和技术标准。</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安装、验收合格前所产生的一切费用（包括卸货、搬运、必要时的安全性能检测费等）由供方负责提供。</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四</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售后服务</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3856" w:type="pct"/>
            <w:vAlign w:val="center"/>
          </w:tcPr>
          <w:p>
            <w:pPr>
              <w:keepNext w:val="0"/>
              <w:keepLines w:val="0"/>
              <w:widowControl/>
              <w:suppressLineNumbers w:val="0"/>
              <w:jc w:val="both"/>
              <w:textAlignment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免费保修：设备验收合格后保修≥3年，期间免一切维修费用；</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五</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其他要求</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属于医疗器械管理范围的产品必须提供医疗器械注册证及注册登记表</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厂家承诺提供设备免费保修期（含消耗品、易损品、维修配件、人工服务等）≥ 3年。提供过保后年保价格</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操作手册、维修手册：提供操作手册、维修手册各一套</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培训：提供临床应用操作培训,并提供临床资料(培训ppt、考核试题)</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软件终身免费升级</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付款方式:验收合格后90工作日内付款，投标商开具单张发票限额必须大于投标单台设备价格</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3856" w:type="pct"/>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投标商提供的设备必须在距投标当日10个月内生产</w:t>
            </w:r>
          </w:p>
        </w:tc>
        <w:tc>
          <w:tcPr>
            <w:tcW w:w="758" w:type="pct"/>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5" w:type="pct"/>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3856" w:type="pct"/>
            <w:vAlign w:val="top"/>
          </w:tcPr>
          <w:p>
            <w:pPr>
              <w:keepNext w:val="0"/>
              <w:keepLines w:val="0"/>
              <w:widowControl/>
              <w:suppressLineNumbers w:val="0"/>
              <w:jc w:val="left"/>
              <w:textAlignment w:val="top"/>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其它优惠条款</w:t>
            </w:r>
          </w:p>
        </w:tc>
        <w:tc>
          <w:tcPr>
            <w:tcW w:w="758" w:type="pct"/>
          </w:tcPr>
          <w:p>
            <w:pPr>
              <w:rPr>
                <w:rFonts w:hint="eastAsia" w:asciiTheme="minorEastAsia" w:hAnsiTheme="minorEastAsia" w:eastAsiaTheme="minorEastAsia" w:cstheme="minorEastAsia"/>
                <w:kern w:val="0"/>
                <w:sz w:val="24"/>
                <w:szCs w:val="24"/>
              </w:rPr>
            </w:pPr>
          </w:p>
        </w:tc>
      </w:tr>
    </w:tbl>
    <w:p>
      <w:pPr>
        <w:snapToGrid w:val="0"/>
        <w:spacing w:line="360" w:lineRule="auto"/>
        <w:ind w:firstLine="470" w:firstLineChars="196"/>
        <w:jc w:val="left"/>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标项二：</w:t>
      </w: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tbl>
      <w:tblPr>
        <w:tblStyle w:val="9"/>
        <w:tblpPr w:leftFromText="180" w:rightFromText="180" w:vertAnchor="page" w:horzAnchor="page" w:tblpX="1613" w:tblpY="195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342"/>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342"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b/>
                <w:kern w:val="0"/>
                <w:sz w:val="24"/>
                <w:szCs w:val="24"/>
                <w:lang w:val="en-US" w:eastAsia="zh-CN"/>
              </w:rPr>
              <w:t xml:space="preserve">                 商务、技术参数要求</w:t>
            </w:r>
          </w:p>
        </w:tc>
        <w:tc>
          <w:tcPr>
            <w:tcW w:w="1250" w:type="dxa"/>
          </w:tcPr>
          <w:p>
            <w:pPr>
              <w:rPr>
                <w:rFonts w:hint="eastAsia" w:asciiTheme="minorEastAsia" w:hAnsiTheme="minorEastAsia" w:eastAsiaTheme="minorEastAsia" w:cstheme="minorEastAsia"/>
                <w:b/>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一</w:t>
            </w:r>
          </w:p>
        </w:tc>
        <w:tc>
          <w:tcPr>
            <w:tcW w:w="7342" w:type="dxa"/>
            <w:vAlign w:val="top"/>
          </w:tcPr>
          <w:p>
            <w:pPr>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sz w:val="24"/>
                <w:szCs w:val="24"/>
              </w:rPr>
              <w:t>总体要求</w:t>
            </w:r>
          </w:p>
        </w:tc>
        <w:tc>
          <w:tcPr>
            <w:tcW w:w="1250" w:type="dxa"/>
          </w:tcPr>
          <w:p>
            <w:pPr>
              <w:rPr>
                <w:rFonts w:hint="eastAsia" w:asciiTheme="minorEastAsia" w:hAnsiTheme="minorEastAsia" w:eastAsiaTheme="minorEastAsia" w:cstheme="minorEastAsia"/>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0" w:type="auto"/>
          </w:tcPr>
          <w:p>
            <w:pPr>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w:t>
            </w:r>
          </w:p>
        </w:tc>
        <w:tc>
          <w:tcPr>
            <w:tcW w:w="7342" w:type="dxa"/>
          </w:tcPr>
          <w:p>
            <w:pPr>
              <w:numPr>
                <w:ilvl w:val="0"/>
                <w:numId w:val="0"/>
              </w:numPr>
              <w:ind w:leftChars="0"/>
              <w:jc w:val="left"/>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采购医用血液冷藏箱1台</w:t>
            </w:r>
          </w:p>
        </w:tc>
        <w:tc>
          <w:tcPr>
            <w:tcW w:w="1250" w:type="dxa"/>
          </w:tcPr>
          <w:p>
            <w:pPr>
              <w:spacing w:line="360" w:lineRule="auto"/>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7342" w:type="dxa"/>
          </w:tcPr>
          <w:p>
            <w:pPr>
              <w:numPr>
                <w:ilvl w:val="0"/>
                <w:numId w:val="0"/>
              </w:numPr>
              <w:ind w:leftChars="0"/>
              <w:jc w:val="left"/>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sz w:val="24"/>
                <w:szCs w:val="24"/>
              </w:rPr>
              <w:t>设备用途：</w:t>
            </w:r>
            <w:r>
              <w:rPr>
                <w:rStyle w:val="18"/>
                <w:rFonts w:hint="eastAsia" w:asciiTheme="minorEastAsia" w:hAnsiTheme="minorEastAsia" w:eastAsiaTheme="minorEastAsia" w:cstheme="minorEastAsia"/>
                <w:highlight w:val="none"/>
                <w:lang w:val="en-US" w:eastAsia="zh-CN" w:bidi="ar"/>
              </w:rPr>
              <w:t>用于血液的保存。</w:t>
            </w:r>
          </w:p>
        </w:tc>
        <w:tc>
          <w:tcPr>
            <w:tcW w:w="1250" w:type="dxa"/>
          </w:tcPr>
          <w:p>
            <w:pPr>
              <w:spacing w:line="360" w:lineRule="auto"/>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p>
        </w:tc>
        <w:tc>
          <w:tcPr>
            <w:tcW w:w="7342" w:type="dxa"/>
            <w:vAlign w:val="top"/>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主要功能要求与技术参数</w:t>
            </w:r>
          </w:p>
        </w:tc>
        <w:tc>
          <w:tcPr>
            <w:tcW w:w="1250" w:type="dxa"/>
            <w:vAlign w:val="center"/>
          </w:tcPr>
          <w:p>
            <w:pPr>
              <w:snapToGrid w:val="0"/>
              <w:spacing w:line="240" w:lineRule="atLeast"/>
              <w:jc w:val="center"/>
              <w:rPr>
                <w:rFonts w:hint="eastAsia" w:asciiTheme="minorEastAsia" w:hAnsiTheme="minorEastAsia" w:eastAsiaTheme="minorEastAsia" w:cstheme="minorEastAsia"/>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门体：采用立式单门设计，大视角双层电加热玻璃发泡门体，自关门功能</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微电脑控制，箱内温度恒定控制在4±1℃范围内，控温精度0.1°C</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显示：LED数码管显示，内温度恒定控制在2-6℃，上下点温度数字显示，平均温度显示，分辨率0.1℃</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风冷设计，保证箱内任意角落的温度都维持在标定的温度范围内，同时增加测试孔设计，满足用户根据实际需要检测箱内温度</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多种故障报警：高低温报警、断电报警、开门报警、传感器故障报警、电池电量低报警。两种报警方式（声音蜂鸣报警和灯光闪烁报警）</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多重保护功能：开机延时保护、停机间隔保护、显示面板密码保护、断电记忆数据保护、传感器故障保护运行等</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冷凝水汇集后自动蒸发，免除人工处理冷凝水的烦恼</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配备四个脚轮，两个底脚；灵活，可移动、可通过底脚锁定</w:t>
            </w:r>
          </w:p>
        </w:tc>
        <w:tc>
          <w:tcPr>
            <w:tcW w:w="1250" w:type="dxa"/>
            <w:vAlign w:val="top"/>
          </w:tcPr>
          <w:p>
            <w:pPr>
              <w:jc w:val="cente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压缩机：国际知名品牌SECOP压缩机，德国进口品牌EBM节能低噪，使用寿命长</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2.10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冷凝风机：德国进口品牌EBM冷凝调速风机，高效节能，低噪音，使用寿命长</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2.11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不锈钢内胆设计，防腐抑菌</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2.12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门锁功能，防止随意开门</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2.13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后备电池设计，满足断电后报警并继续显示箱内实时温度需求</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2.14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箱内5个高精度传感器，带防高温和防低温机械控器，电控板故障时可直接控制压机开停，防止温低影响血液安全</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2.15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单独电源开关设计，方便人员安全操作</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2.16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箱内设置LED照明灯，外部独立灯开关</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2.17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可选配USB模块，可以存储箱内温度数据10年，实现产品整个生命周期的温度数据可追溯</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2.18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可选配圆盘温度记录仪</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2.19 </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4个搁架，4个血筐，2个透明亚克力内门，可减小开门取血的冷量散失</w:t>
            </w:r>
          </w:p>
        </w:tc>
        <w:tc>
          <w:tcPr>
            <w:tcW w:w="1250" w:type="dxa"/>
            <w:vAlign w:val="top"/>
          </w:tcPr>
          <w:p>
            <w:pPr>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三</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安装验收</w:t>
            </w:r>
          </w:p>
        </w:tc>
        <w:tc>
          <w:tcPr>
            <w:tcW w:w="1250" w:type="dxa"/>
            <w:vAlign w:val="center"/>
          </w:tcPr>
          <w:p>
            <w:pP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73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安装地点：医院指定科室；</w:t>
            </w:r>
          </w:p>
        </w:tc>
        <w:tc>
          <w:tcPr>
            <w:tcW w:w="1250" w:type="dxa"/>
            <w:vAlign w:val="center"/>
          </w:tcPr>
          <w:p>
            <w:pP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73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安装完成时间：合同签订后1个月内交货，接买方通知后3天内完成安装；</w:t>
            </w:r>
          </w:p>
        </w:tc>
        <w:tc>
          <w:tcPr>
            <w:tcW w:w="1250" w:type="dxa"/>
            <w:vAlign w:val="center"/>
          </w:tcPr>
          <w:p>
            <w:pP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73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安装标准：符合我国国家有关技术规范和技术标准；</w:t>
            </w:r>
          </w:p>
        </w:tc>
        <w:tc>
          <w:tcPr>
            <w:tcW w:w="1250" w:type="dxa"/>
            <w:vAlign w:val="center"/>
          </w:tcPr>
          <w:p>
            <w:pP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73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olor w:val="000000"/>
                <w:kern w:val="0"/>
                <w:sz w:val="24"/>
                <w:szCs w:val="24"/>
                <w:u w:val="none"/>
                <w:lang w:val="en-US" w:eastAsia="zh-CN" w:bidi="ar"/>
              </w:rPr>
              <w:t>验收标准：符合我国国家有关技术规范和技术标准。</w:t>
            </w:r>
          </w:p>
        </w:tc>
        <w:tc>
          <w:tcPr>
            <w:tcW w:w="1250" w:type="dxa"/>
            <w:vAlign w:val="center"/>
          </w:tcPr>
          <w:p>
            <w:pPr>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73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安装、验收合格前所产生的一切费用（包括卸货、搬运、必要时的安全性能检测费等）由供方负责提供。</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四</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售后服务</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center"/>
          </w:tcPr>
          <w:p>
            <w:pPr>
              <w:keepNext w:val="0"/>
              <w:keepLines w:val="0"/>
              <w:widowControl/>
              <w:suppressLineNumbers w:val="0"/>
              <w:jc w:val="both"/>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7342" w:type="dxa"/>
            <w:vAlign w:val="center"/>
          </w:tcPr>
          <w:p>
            <w:pPr>
              <w:keepNext w:val="0"/>
              <w:keepLines w:val="0"/>
              <w:widowControl/>
              <w:suppressLineNumbers w:val="0"/>
              <w:jc w:val="both"/>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免费保修：设备验收合格后保修≥3年，期间免一切维修费用；</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五</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其他要求</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属于医疗器械管理范围的产品必须提供医疗器械注册证及注册登记表</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厂家承诺提供设备免费保修期（含消耗品、易损品、维修配件、人工服务等）≥ 3年。提供过保后年保价格</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操作手册、维修手册：提供操作手册、维修手册各一套</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b/>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培训：提供临床应用操作培训,并提供临床资料(培训ppt、考核试题)</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软件终身免费升级</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付款方式:验收合格后90工作日内付款，投标商开具单张发票限额必须大于投标单台设备价格</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7342" w:type="dxa"/>
            <w:vAlign w:val="top"/>
          </w:tcPr>
          <w:p>
            <w:pPr>
              <w:keepNext w:val="0"/>
              <w:keepLines w:val="0"/>
              <w:widowControl/>
              <w:suppressLineNumbers w:val="0"/>
              <w:jc w:val="both"/>
              <w:textAlignment w:val="top"/>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投标商提供的设备必须在距投标当日10个月内生产</w:t>
            </w:r>
          </w:p>
        </w:tc>
        <w:tc>
          <w:tcPr>
            <w:tcW w:w="1250" w:type="dxa"/>
          </w:tcPr>
          <w:p>
            <w:pPr>
              <w:rPr>
                <w:rFonts w:hint="eastAsia" w:asciiTheme="minorEastAsia" w:hAnsiTheme="minorEastAsia" w:eastAsiaTheme="minorEastAsia" w:cs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0" w:type="auto"/>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7342" w:type="dxa"/>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kern w:val="2"/>
                <w:sz w:val="24"/>
                <w:szCs w:val="24"/>
                <w:u w:val="none"/>
                <w:lang w:val="en-US" w:eastAsia="zh-CN" w:bidi="ar-SA"/>
              </w:rPr>
            </w:pPr>
            <w:r>
              <w:rPr>
                <w:rFonts w:hint="eastAsia" w:asciiTheme="minorEastAsia" w:hAnsiTheme="minorEastAsia" w:eastAsiaTheme="minorEastAsia" w:cstheme="minorEastAsia"/>
                <w:i w:val="0"/>
                <w:iCs w:val="0"/>
                <w:color w:val="000000"/>
                <w:kern w:val="0"/>
                <w:sz w:val="24"/>
                <w:szCs w:val="24"/>
                <w:u w:val="none"/>
                <w:lang w:val="en-US" w:eastAsia="zh-CN" w:bidi="ar"/>
              </w:rPr>
              <w:t>其它优惠条款</w:t>
            </w:r>
          </w:p>
        </w:tc>
        <w:tc>
          <w:tcPr>
            <w:tcW w:w="1250" w:type="dxa"/>
            <w:vAlign w:val="top"/>
          </w:tcPr>
          <w:p>
            <w:pPr>
              <w:jc w:val="center"/>
              <w:rPr>
                <w:rFonts w:hint="eastAsia" w:asciiTheme="minorEastAsia" w:hAnsiTheme="minorEastAsia" w:eastAsiaTheme="minorEastAsia" w:cstheme="minorEastAsia"/>
                <w:i w:val="0"/>
                <w:iCs w:val="0"/>
                <w:color w:val="000000"/>
                <w:kern w:val="2"/>
                <w:sz w:val="24"/>
                <w:szCs w:val="24"/>
                <w:u w:val="none"/>
                <w:lang w:val="en-US" w:eastAsia="zh-CN" w:bidi="ar-SA"/>
              </w:rPr>
            </w:pPr>
          </w:p>
        </w:tc>
      </w:tr>
    </w:tbl>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标项三：</w:t>
      </w: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tbl>
      <w:tblPr>
        <w:tblStyle w:val="8"/>
        <w:tblW w:w="86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6"/>
        <w:gridCol w:w="6673"/>
        <w:gridCol w:w="10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w:t>
            </w:r>
            <w:r>
              <w:rPr>
                <w:rStyle w:val="20"/>
                <w:rFonts w:hint="eastAsia" w:asciiTheme="minorEastAsia" w:hAnsiTheme="minorEastAsia" w:eastAsiaTheme="minorEastAsia" w:cstheme="minorEastAsia"/>
                <w:lang w:val="en-US" w:eastAsia="zh-CN" w:bidi="ar"/>
              </w:rPr>
              <w:t>商务、技术参数要求</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投标响应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一</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总体要求</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1.1</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val="0"/>
                <w:bCs w:val="0"/>
                <w:i w:val="0"/>
                <w:iCs w:val="0"/>
                <w:color w:val="auto"/>
                <w:sz w:val="24"/>
                <w:szCs w:val="24"/>
                <w:u w:val="none"/>
              </w:rPr>
            </w:pPr>
            <w:r>
              <w:rPr>
                <w:rFonts w:hint="eastAsia" w:asciiTheme="minorEastAsia" w:hAnsiTheme="minorEastAsia" w:cstheme="minorEastAsia"/>
                <w:b w:val="0"/>
                <w:bCs w:val="0"/>
                <w:i w:val="0"/>
                <w:iCs w:val="0"/>
                <w:color w:val="auto"/>
                <w:kern w:val="0"/>
                <w:sz w:val="24"/>
                <w:szCs w:val="24"/>
                <w:u w:val="none"/>
                <w:lang w:val="en-US" w:eastAsia="zh-CN" w:bidi="ar"/>
              </w:rPr>
              <w:t>采购</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医用冷藏箱5台</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设备用途：</w:t>
            </w:r>
            <w:r>
              <w:rPr>
                <w:rStyle w:val="18"/>
                <w:rFonts w:hint="eastAsia" w:asciiTheme="minorEastAsia" w:hAnsiTheme="minorEastAsia" w:eastAsiaTheme="minorEastAsia" w:cstheme="minorEastAsia"/>
                <w:lang w:val="en-US" w:eastAsia="zh-CN" w:bidi="ar"/>
              </w:rPr>
              <w:t>用于储存生物制品、疫苗、药品、试剂等</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二</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主要功能要求与技术参数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2.1</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立式，箱内有效容积≥890L</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箱内温度范围：2℃～8℃</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数字显示箱内温度，微电脑控制,显示精度0.1度，带电源指示灯，可显示箱内上部、下部温度以及平均温度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可实现超温报警、断电报警、开门报警、传感器故障报警、电池电量低报警，带远程报警接口，</w:t>
            </w:r>
            <w:r>
              <w:rPr>
                <w:rStyle w:val="18"/>
                <w:rFonts w:hint="eastAsia" w:asciiTheme="minorEastAsia" w:hAnsiTheme="minorEastAsia" w:eastAsiaTheme="minorEastAsia" w:cstheme="minorEastAsia"/>
                <w:lang w:val="en-US" w:eastAsia="zh-CN" w:bidi="ar"/>
              </w:rPr>
              <w:t>两种报警方式（声音蜂鸣报警，显示屏闪烁报警）。断电报警功能满足产品断电后继续显示箱内的实时温度大于48小时</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配有12V 4AH电池，断电后可声光报警持续48小时以上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双感温包设计，模拟存储物品的表面温度，而非感温探头处空气温度。也可选择监控箱内空气温度</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高精度5路传感器设计，可分别显示箱内上部温度、下部温度以及平均值</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采用进口品牌压缩机，</w:t>
            </w:r>
            <w:r>
              <w:rPr>
                <w:rStyle w:val="18"/>
                <w:rFonts w:hint="eastAsia" w:asciiTheme="minorEastAsia" w:hAnsiTheme="minorEastAsia" w:eastAsiaTheme="minorEastAsia" w:cstheme="minorEastAsia"/>
                <w:lang w:val="en-US" w:eastAsia="zh-CN" w:bidi="ar"/>
              </w:rPr>
              <w:t>品质保障，性能卓越</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蒸发风机采用3个EBM轴流风机、冷凝风机采用2个EBM罩极风机，保证部件质量和整机性能可靠性</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双层玻璃门体，采用电极式电加热设计，满足32℃，85%湿度无凝露。890F为发泡门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2.11</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门体可实现90°自关门，</w:t>
            </w:r>
            <w:r>
              <w:rPr>
                <w:rStyle w:val="19"/>
                <w:rFonts w:hint="eastAsia" w:asciiTheme="minorEastAsia" w:hAnsiTheme="minorEastAsia" w:eastAsiaTheme="minorEastAsia" w:cstheme="minorEastAsia"/>
                <w:lang w:val="en-US" w:eastAsia="zh-CN" w:bidi="ar"/>
              </w:rPr>
              <w:t>防止用户开门后忘记关门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2.12</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带有4个可移动脚轮和2个可锁定的平衡底脚，方便产品移动和固定使用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2.13</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冷凝水自动蒸发功能，无需人工倒水</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2.14</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2V直流LED冷光源设计，光亮节能</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2.15</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门体带锁设计，且是一把钥匙一把锁结构，保证存储物品的安全</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2.16</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产品带有1个测试孔，方便用户对箱内温度进行监测</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2.17</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配置12个带价目条的搁架，可以根据实际使用情况调整搁架间距，保证箱内空间利用率</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★2.18</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产品具有医疗器械注册证</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三</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安装验收</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安装地点：医院指定科室；</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安装完成时间：合同签订后1个月内交货，接买方通知后3天内完成安装；</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安装标准：符合我国国家有关技术规范和技术标准；</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验收标准：符合我国国家有关技术规范和技术标准。</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安装、验收合格前所产生的一切费用（包括卸货、搬运、必要时的安全性能检测费等）由供方负责提供。</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四</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售后服务</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免费保修：设备验收合格后保修≥3年，期间免一切维修费用；</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五</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其他要求</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5.1</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属于医疗器械管理范围的产品必须提供医疗器械注册证及注册登记表</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5.2</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厂家承诺提供设备免费保修期（含消耗品、易损品、维修配件、人工服务等）≥ 3年。提供过保后年保价格</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5.3</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操作手册、维修手册：提供操作手册、维修手册各一套</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5.4</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培训：提供临床应用操作培训,并提供临床资料(培训ppt、考核试题)</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5.5</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软件终身免费升级</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5.6</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付款方式:验收合格后90工作日内付款，投标商开具单张发票限额必须大于投标单台设备价格</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5.7</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投标商提供的设备必须在距投标当日10个月内生产</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both"/>
              <w:rPr>
                <w:rFonts w:hint="eastAsia" w:asciiTheme="minorEastAsia" w:hAnsiTheme="minorEastAsia" w:eastAsiaTheme="minorEastAsia" w:cstheme="minorEastAsia"/>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0"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both"/>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5.8</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其它优惠条款</w:t>
            </w:r>
          </w:p>
        </w:tc>
        <w:tc>
          <w:tcPr>
            <w:tcW w:w="1080"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Theme="minorEastAsia" w:hAnsiTheme="minorEastAsia" w:eastAsiaTheme="minorEastAsia" w:cstheme="minorEastAsia"/>
                <w:i w:val="0"/>
                <w:iCs w:val="0"/>
                <w:color w:val="000000"/>
                <w:sz w:val="24"/>
                <w:szCs w:val="24"/>
                <w:u w:val="none"/>
              </w:rPr>
            </w:pPr>
          </w:p>
        </w:tc>
      </w:tr>
    </w:tbl>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rPr>
          <w:rFonts w:hint="eastAsia" w:asciiTheme="minorEastAsia" w:hAnsiTheme="minorEastAsia" w:eastAsiaTheme="minorEastAsia" w:cstheme="minorEastAsia"/>
          <w:kern w:val="2"/>
          <w:sz w:val="24"/>
          <w:szCs w:val="24"/>
          <w:lang w:val="en-US" w:eastAsia="zh-CN" w:bidi="ar-SA"/>
        </w:rPr>
      </w:pP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1"/>
          <w:rFonts w:hint="eastAsia" w:asciiTheme="minorEastAsia" w:hAnsiTheme="minorEastAsia" w:eastAsiaTheme="minorEastAsia" w:cstheme="minorEastAsia"/>
          <w:b/>
          <w:bCs/>
          <w:kern w:val="2"/>
          <w:sz w:val="32"/>
          <w:szCs w:val="32"/>
          <w:lang w:val="en-US" w:eastAsia="zh-CN" w:bidi="ar-SA"/>
        </w:rPr>
      </w:pPr>
      <w:r>
        <w:rPr>
          <w:rStyle w:val="11"/>
          <w:rFonts w:hint="eastAsia" w:asciiTheme="minorEastAsia" w:hAnsiTheme="minorEastAsia" w:eastAsiaTheme="minorEastAsia" w:cstheme="minorEastAsia"/>
          <w:b/>
          <w:bCs/>
          <w:kern w:val="2"/>
          <w:sz w:val="32"/>
          <w:szCs w:val="32"/>
          <w:lang w:val="en-US" w:eastAsia="zh-CN" w:bidi="ar-SA"/>
        </w:rPr>
        <w:t>评分细则</w:t>
      </w:r>
    </w:p>
    <w:p>
      <w:pPr>
        <w:spacing w:line="360" w:lineRule="auto"/>
        <w:ind w:firstLine="457" w:firstLineChars="196"/>
        <w:rPr>
          <w:rStyle w:val="11"/>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tbl>
      <w:tblPr>
        <w:tblStyle w:val="8"/>
        <w:tblW w:w="9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8"/>
        <w:gridCol w:w="2639"/>
        <w:gridCol w:w="997"/>
        <w:gridCol w:w="4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639"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4607"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对应于招标文件设备技术规格及配置的偏离度</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招标文件第四部分招标内容及要求的设备技术规格及配置对比，实质性条款除外，标注★的技术指标（或功能）偏离每项扣4分，一般技术指标偏离每项扣1分，一般功能偏离每项扣3分，商务要求偏离每项扣3分。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投标设备配套的合理性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投标设备技术指标的先进性</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评委对投标设备技术指标的先进性进行评价：技术指标高于招标要求且具有较高临床使用价值的，每项得1分；最高得3分。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投标机型的档次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投标机型在产品系列中属高档产品的，得3分；属中等档次产品的，得2分；属低档产品的，得1分。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运行成本</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包括保修价格、售后服务方案、年运行费用和消耗品或易耗品价格等综合运行成本进行评价。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保修服务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设备保修期超过招标文件要求的，每增加1年加1分，增加部分不足1年的不计分。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投标产品总体质量性能</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投标产品在临床上的使用情况、稳定性、故障率等总体质量性能综合评价。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市场占有率</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提供20</w:t>
            </w: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年1月1日起至今与最终用户签订的投标机型合同复印件，每份有效合同得0.5分，最多5分。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制造商或代理商的售后服务和维修能力，服务响应速度、服务人员水平、备品备件配置等综合评价。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投标人提供的超出招标文件的优惠条件</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评委对投标文件中是否有超出招标文件的优惠条件进行评议，没有实质性优惠条件得0分；有优惠条件的，根据优惠内容市场价值及实用性大小评分。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 w:hRule="atLeast"/>
          <w:jc w:val="center"/>
        </w:trPr>
        <w:tc>
          <w:tcPr>
            <w:tcW w:w="78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639" w:type="dxa"/>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环境标志产品、节能产品评审</w:t>
            </w:r>
          </w:p>
        </w:tc>
        <w:tc>
          <w:tcPr>
            <w:tcW w:w="997"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607" w:type="dxa"/>
            <w:noWrap w:val="0"/>
            <w:vAlign w:val="center"/>
          </w:tcPr>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产品列入财政部、发展改革委发布的节能产品品目清单的，提供国家市场监督管理总局公布的《参与实施政府采购节能产品认证机构名录》内的认证机构出具的、处于有效期之内的节能标志产品认证证书的，得1分。</w:t>
            </w:r>
          </w:p>
          <w:p>
            <w:pPr>
              <w:ind w:left="105" w:leftChars="50" w:right="10" w:rightChars="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产品列入财政部、生态环境部发布的环境标志产品品目清单的，提供国家市场监督管理总局公布的《参与实施政府采购环境标志产品认证机构名录》内的认证机构出具的、处于有效期之内的环境标志产品认证证书，得1分。</w:t>
            </w:r>
          </w:p>
        </w:tc>
      </w:tr>
    </w:tbl>
    <w:p>
      <w:pPr>
        <w:spacing w:before="120" w:beforeLines="50" w:after="120" w:afterLines="50"/>
        <w:ind w:firstLine="457" w:firstLineChars="196"/>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spacing w:val="-4"/>
          <w:sz w:val="24"/>
          <w:szCs w:val="24"/>
        </w:rPr>
        <w:t>2、</w:t>
      </w:r>
      <w:r>
        <w:rPr>
          <w:rFonts w:hint="eastAsia" w:asciiTheme="minorEastAsia" w:hAnsiTheme="minorEastAsia" w:eastAsiaTheme="minorEastAsia" w:cstheme="minorEastAsia"/>
          <w:b/>
          <w:bCs/>
          <w:spacing w:val="-4"/>
          <w:sz w:val="24"/>
          <w:szCs w:val="24"/>
        </w:rPr>
        <w:t>价格分（0-35分）</w:t>
      </w:r>
    </w:p>
    <w:p>
      <w:pPr>
        <w:pStyle w:val="6"/>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4"/>
          <w:szCs w:val="24"/>
        </w:rPr>
      </w:pPr>
      <w:r>
        <w:rPr>
          <w:rFonts w:hint="eastAsia" w:asciiTheme="minorEastAsia" w:hAnsiTheme="minorEastAsia" w:eastAsiaTheme="minorEastAsia" w:cstheme="minorEastAsia"/>
          <w:bCs/>
          <w:spacing w:val="-4"/>
          <w:sz w:val="24"/>
          <w:szCs w:val="24"/>
        </w:rPr>
        <w:t>价格分采用低价优先法计算，即满足招标文件要求且投标报价最低的投标报价为评标基准价，其得分为满分35分。其他投标人的价格分按照下列公式计算：</w:t>
      </w:r>
    </w:p>
    <w:p>
      <w:pPr>
        <w:spacing w:before="120" w:beforeLines="50" w:after="120" w:afterLines="50"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价格分=（评标基准价/</w:t>
      </w:r>
      <w:r>
        <w:rPr>
          <w:rFonts w:hint="eastAsia" w:asciiTheme="minorEastAsia" w:hAnsiTheme="minorEastAsia" w:eastAsiaTheme="minorEastAsia" w:cstheme="minorEastAsia"/>
          <w:bCs/>
          <w:spacing w:val="-4"/>
          <w:sz w:val="24"/>
          <w:szCs w:val="24"/>
        </w:rPr>
        <w:t>投标报价</w:t>
      </w:r>
      <w:r>
        <w:rPr>
          <w:rFonts w:hint="eastAsia" w:asciiTheme="minorEastAsia" w:hAnsiTheme="minorEastAsia" w:eastAsiaTheme="minorEastAsia" w:cstheme="minorEastAsia"/>
          <w:sz w:val="24"/>
          <w:szCs w:val="24"/>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sz w:val="24"/>
          <w:szCs w:val="24"/>
        </w:rPr>
        <w:t>投标人的综合得分为以上商务技术分及价格分之和</w:t>
      </w:r>
      <w:r>
        <w:rPr>
          <w:sz w:val="24"/>
        </w:rPr>
        <w:t>。</w:t>
      </w:r>
    </w:p>
    <w:p>
      <w:pPr>
        <w:numPr>
          <w:ilvl w:val="0"/>
          <w:numId w:val="0"/>
        </w:numPr>
        <w:jc w:val="left"/>
        <w:rPr>
          <w:rFonts w:hint="eastAsia"/>
          <w:b/>
          <w:bCs/>
          <w:sz w:val="24"/>
          <w:lang w:val="en-US" w:eastAsia="zh-CN"/>
        </w:rPr>
      </w:pPr>
    </w:p>
    <w:p>
      <w:pPr>
        <w:pStyle w:val="6"/>
        <w:keepNext w:val="0"/>
        <w:keepLines w:val="0"/>
        <w:widowControl/>
        <w:numPr>
          <w:ilvl w:val="0"/>
          <w:numId w:val="0"/>
        </w:numPr>
        <w:suppressLineNumbers w:val="0"/>
        <w:spacing w:before="255" w:beforeAutospacing="0" w:after="255" w:afterAutospacing="0" w:line="300" w:lineRule="atLeast"/>
        <w:ind w:leftChars="0" w:right="0" w:rightChars="0"/>
        <w:jc w:val="both"/>
        <w:rPr>
          <w:rStyle w:val="11"/>
          <w:rFonts w:hint="default" w:eastAsia="宋体" w:asciiTheme="minorEastAsia" w:hAnsiTheme="minorEastAsia" w:cstheme="minorEastAsia"/>
          <w:b/>
          <w:bCs/>
          <w:kern w:val="2"/>
          <w:sz w:val="32"/>
          <w:szCs w:val="32"/>
          <w:lang w:val="en-US" w:eastAsia="zh-CN" w:bidi="ar-SA"/>
        </w:rPr>
      </w:pPr>
      <w:r>
        <w:rPr>
          <w:rStyle w:val="11"/>
          <w:rFonts w:hint="eastAsia" w:eastAsia="宋体" w:asciiTheme="minorEastAsia" w:hAnsiTheme="minorEastAsia" w:cstheme="minorEastAsia"/>
          <w:b/>
          <w:bCs/>
          <w:kern w:val="2"/>
          <w:sz w:val="32"/>
          <w:szCs w:val="32"/>
          <w:lang w:val="en-US" w:eastAsia="zh-CN" w:bidi="ar-SA"/>
        </w:rPr>
        <w:t>九、我院正式合同版本</w:t>
      </w:r>
    </w:p>
    <w:p>
      <w:pPr>
        <w:pStyle w:val="7"/>
        <w:rPr>
          <w:rFonts w:hint="eastAsia"/>
          <w:sz w:val="30"/>
          <w:szCs w:val="30"/>
        </w:rPr>
      </w:pPr>
    </w:p>
    <w:p>
      <w:pPr>
        <w:pStyle w:val="7"/>
        <w:rPr>
          <w:sz w:val="44"/>
        </w:rPr>
      </w:pPr>
      <w:r>
        <w:rPr>
          <w:rFonts w:hint="eastAsia"/>
          <w:sz w:val="30"/>
          <w:szCs w:val="30"/>
        </w:rPr>
        <w:t>温州市中医院医疗设备采购合同</w:t>
      </w:r>
    </w:p>
    <w:p>
      <w:pPr>
        <w:rPr>
          <w:w w:val="95"/>
        </w:rPr>
      </w:pPr>
      <w:r>
        <w:rPr>
          <w:rFonts w:hint="eastAsia"/>
          <w:w w:val="95"/>
        </w:rPr>
        <w:t xml:space="preserve">                                          </w:t>
      </w:r>
      <w:r>
        <w:rPr>
          <w:rFonts w:hint="eastAsia" w:asciiTheme="minorEastAsia" w:hAnsiTheme="minorEastAsia" w:eastAsiaTheme="minorEastAsia" w:cstheme="minorEastAsia"/>
          <w:color w:val="000000" w:themeColor="text1"/>
          <w:kern w:val="0"/>
          <w:sz w:val="24"/>
          <w:szCs w:val="24"/>
          <w:lang w:val="zh-CN" w:eastAsia="zh-CN" w:bidi="zh-CN"/>
          <w14:textFill>
            <w14:solidFill>
              <w14:schemeClr w14:val="tx1"/>
            </w14:solidFill>
          </w14:textFill>
        </w:rPr>
        <w:t>合同编号：</w:t>
      </w:r>
      <w:r>
        <w:rPr>
          <w:rFonts w:hint="eastAsia"/>
          <w:w w:val="95"/>
        </w:rPr>
        <w:t xml:space="preserve">          </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甲方（采购单位）：温州市中医院</w:t>
      </w:r>
    </w:p>
    <w:p>
      <w:pPr>
        <w:spacing w:before="107" w:line="220" w:lineRule="atLeast"/>
        <w:ind w:left="1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乙方（供应商）： </w:t>
      </w:r>
    </w:p>
    <w:p>
      <w:pPr>
        <w:pStyle w:val="3"/>
        <w:spacing w:before="106"/>
        <w:ind w:left="111" w:right="209" w:firstLine="600" w:firstLineChars="25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根据《中华人民共</w:t>
      </w:r>
      <w:r>
        <w:rPr>
          <w:rFonts w:hint="eastAsia" w:asciiTheme="minorEastAsia" w:hAnsiTheme="minorEastAsia" w:eastAsiaTheme="minorEastAsia" w:cstheme="minorEastAsia"/>
          <w:color w:val="000000" w:themeColor="text1"/>
          <w:sz w:val="24"/>
          <w:szCs w:val="24"/>
          <w14:textFill>
            <w14:solidFill>
              <w14:schemeClr w14:val="tx1"/>
            </w14:solidFill>
          </w14:textFill>
        </w:rPr>
        <w:t>和国政府采购法》、《中华人民共和国民法典》等相关法律法规，以及</w:t>
      </w:r>
      <w:r>
        <w:rPr>
          <w:rFonts w:hint="eastAsia" w:asciiTheme="minorEastAsia" w:hAnsiTheme="minorEastAsia" w:eastAsiaTheme="minorEastAsia" w:cstheme="minorEastAsia"/>
          <w:color w:val="000000" w:themeColor="text1"/>
          <w:sz w:val="24"/>
          <w:szCs w:val="24"/>
          <w:u w:val="single"/>
          <w:lang w:val="en-US"/>
          <w14:textFill>
            <w14:solidFill>
              <w14:schemeClr w14:val="tx1"/>
            </w14:solidFill>
          </w14:textFill>
        </w:rPr>
        <w:t>(招标编号)</w:t>
      </w:r>
      <w:r>
        <w:rPr>
          <w:rFonts w:hint="eastAsia" w:asciiTheme="minorEastAsia" w:hAnsiTheme="minorEastAsia" w:eastAsiaTheme="minorEastAsia" w:cstheme="minorEastAsia"/>
          <w:color w:val="000000" w:themeColor="text1"/>
          <w:w w:val="95"/>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目（以下简称“项目”）招标文件、中标供应商投标文件、项目采购协议，或入围承诺书，甲乙双方经协商一致，签署本合同。</w:t>
      </w:r>
    </w:p>
    <w:p>
      <w:pPr>
        <w:pStyle w:val="2"/>
        <w:numPr>
          <w:ilvl w:val="0"/>
          <w:numId w:val="3"/>
        </w:numPr>
        <w:spacing w:before="84" w:after="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货物内容及合同价格</w:t>
      </w:r>
    </w:p>
    <w:tbl>
      <w:tblPr>
        <w:tblStyle w:val="8"/>
        <w:tblW w:w="8364"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4"/>
        <w:gridCol w:w="1418"/>
        <w:gridCol w:w="1559"/>
        <w:gridCol w:w="2126"/>
        <w:gridCol w:w="993"/>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trPr>
        <w:tc>
          <w:tcPr>
            <w:tcW w:w="1134" w:type="dxa"/>
            <w:vAlign w:val="center"/>
          </w:tcPr>
          <w:p>
            <w:pPr>
              <w:pStyle w:val="15"/>
              <w:spacing w:before="11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货物名称</w:t>
            </w:r>
          </w:p>
        </w:tc>
        <w:tc>
          <w:tcPr>
            <w:tcW w:w="1418" w:type="dxa"/>
            <w:vAlign w:val="center"/>
          </w:tcPr>
          <w:p>
            <w:pPr>
              <w:pStyle w:val="15"/>
              <w:spacing w:before="116"/>
              <w:ind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品牌</w:t>
            </w:r>
          </w:p>
        </w:tc>
        <w:tc>
          <w:tcPr>
            <w:tcW w:w="1559" w:type="dxa"/>
            <w:vAlign w:val="center"/>
          </w:tcPr>
          <w:p>
            <w:pPr>
              <w:pStyle w:val="15"/>
              <w:spacing w:before="116"/>
              <w:ind w:left="287" w:right="276"/>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型号规格</w:t>
            </w:r>
          </w:p>
        </w:tc>
        <w:tc>
          <w:tcPr>
            <w:tcW w:w="2126"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配置要求</w:t>
            </w:r>
          </w:p>
        </w:tc>
        <w:tc>
          <w:tcPr>
            <w:tcW w:w="993" w:type="dxa"/>
            <w:vAlign w:val="center"/>
          </w:tcPr>
          <w:p>
            <w:pPr>
              <w:pStyle w:val="15"/>
              <w:spacing w:before="116"/>
              <w:ind w:left="71" w:right="61"/>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数量</w:t>
            </w:r>
          </w:p>
        </w:tc>
        <w:tc>
          <w:tcPr>
            <w:tcW w:w="1134" w:type="dxa"/>
            <w:vAlign w:val="center"/>
          </w:tcPr>
          <w:p>
            <w:pPr>
              <w:pStyle w:val="15"/>
              <w:spacing w:before="116"/>
              <w:ind w:left="71" w:right="62"/>
              <w:jc w:val="center"/>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trPr>
        <w:tc>
          <w:tcPr>
            <w:tcW w:w="1134"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418"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1559" w:type="dxa"/>
            <w:vAlign w:val="center"/>
          </w:tcPr>
          <w:p>
            <w:pPr>
              <w:pStyle w:val="15"/>
              <w:jc w:val="center"/>
              <w:rPr>
                <w:rFonts w:hint="eastAsia" w:asciiTheme="minorEastAsia" w:hAnsiTheme="minorEastAsia" w:eastAsiaTheme="minorEastAsia" w:cstheme="minorEastAsia"/>
                <w:b/>
                <w:color w:val="000000" w:themeColor="text1"/>
                <w:sz w:val="24"/>
                <w:szCs w:val="24"/>
                <w:lang w:val="en-US"/>
                <w14:textFill>
                  <w14:solidFill>
                    <w14:schemeClr w14:val="tx1"/>
                  </w14:solidFill>
                </w14:textFill>
              </w:rPr>
            </w:pPr>
          </w:p>
        </w:tc>
        <w:tc>
          <w:tcPr>
            <w:tcW w:w="2126"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993"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34" w:type="dxa"/>
            <w:vAlign w:val="center"/>
          </w:tcPr>
          <w:p>
            <w:pPr>
              <w:pStyle w:val="15"/>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trPr>
        <w:tc>
          <w:tcPr>
            <w:tcW w:w="8364" w:type="dxa"/>
            <w:gridSpan w:val="6"/>
          </w:tcPr>
          <w:p>
            <w:pPr>
              <w:pStyle w:val="15"/>
              <w:spacing w:before="116"/>
              <w:ind w:firstLine="1920" w:firstLineChars="8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合同总价大写</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                           小写：￥</w:t>
            </w:r>
          </w:p>
        </w:tc>
      </w:tr>
    </w:tbl>
    <w:p>
      <w:pPr>
        <w:ind w:right="1636"/>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金额单位：元</w:t>
      </w:r>
    </w:p>
    <w:p>
      <w:pPr>
        <w:pStyle w:val="3"/>
        <w:spacing w:line="0" w:lineRule="atLeast"/>
        <w:ind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注：1、商品型号、数量、配置要求及使用单位地址等详见附件清单</w:t>
      </w:r>
    </w:p>
    <w:p>
      <w:pPr>
        <w:pStyle w:val="3"/>
        <w:spacing w:line="0" w:lineRule="atLeast"/>
        <w:ind w:left="105" w:right="2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2、以上合同总价包含货物到达用户并能正常使用所需的一切费用，包括但不限于包装费、运输费、装卸费、保险费、安装调试费、技术服务费、培训费以及保修费、税费等。</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二、技术资料</w:t>
      </w:r>
    </w:p>
    <w:p>
      <w:pPr>
        <w:pStyle w:val="16"/>
        <w:numPr>
          <w:ilvl w:val="0"/>
          <w:numId w:val="4"/>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乙方应按招标文件规定的时间向甲方提供使用货物的有关技术资料。</w:t>
      </w:r>
    </w:p>
    <w:p>
      <w:pPr>
        <w:pStyle w:val="16"/>
        <w:numPr>
          <w:ilvl w:val="0"/>
          <w:numId w:val="4"/>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
        <w:spacing w:before="8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三、知识产权</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乙方应保证所提供的货物或其任何一部分均不会侵犯任何第三方的知识产权。</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四、产权担保</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乙方保证所交付的货物的所有权完全属于乙方且无任何抵押、查封等产权瑕疵。</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五、转包或分包</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本合同范围的货物，应由乙方直接供应，不得转让他人供应，否则，甲方有权解除合同，没收质量保证金并追究乙方的违约责任。</w:t>
      </w:r>
    </w:p>
    <w:p>
      <w:pPr>
        <w:pStyle w:val="2"/>
        <w:spacing w:before="107"/>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六、质保期和质保金</w:t>
      </w:r>
    </w:p>
    <w:p>
      <w:pPr>
        <w:pStyle w:val="16"/>
        <w:numPr>
          <w:ilvl w:val="0"/>
          <w:numId w:val="5"/>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pacing w:val="-6"/>
          <w:sz w:val="24"/>
          <w:szCs w:val="24"/>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lang w:val="en-US"/>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14:textFill>
            <w14:solidFill>
              <w14:schemeClr w14:val="tx1"/>
            </w14:solidFill>
          </w14:textFill>
        </w:rPr>
        <w:t>。（自交货验收合格之日起计）</w:t>
      </w:r>
    </w:p>
    <w:p>
      <w:pPr>
        <w:pStyle w:val="16"/>
        <w:numPr>
          <w:ilvl w:val="0"/>
          <w:numId w:val="5"/>
        </w:numPr>
        <w:tabs>
          <w:tab w:val="left" w:pos="522"/>
          <w:tab w:val="left" w:pos="1347"/>
        </w:tabs>
        <w:spacing w:before="7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质保金</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元。</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质量保证金于合同签订后</w:t>
      </w:r>
      <w: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t xml:space="preserve">    日内</w:t>
      </w:r>
      <w:r>
        <w:rPr>
          <w:rFonts w:hint="eastAsia" w:asciiTheme="minorEastAsia" w:hAnsiTheme="minorEastAsia" w:eastAsiaTheme="minorEastAsia" w:cstheme="minorEastAsia"/>
          <w:color w:val="000000" w:themeColor="text1"/>
          <w:sz w:val="24"/>
          <w:szCs w:val="24"/>
          <w14:textFill>
            <w14:solidFill>
              <w14:schemeClr w14:val="tx1"/>
            </w14:solidFill>
          </w14:textFill>
        </w:rPr>
        <w:t>交给采购单位，在合同约定交货验收合格满（</w:t>
      </w:r>
      <w:r>
        <w:rPr>
          <w:rFonts w:hint="eastAsia" w:asciiTheme="minorEastAsia" w:hAnsiTheme="minorEastAsia" w:eastAsiaTheme="minorEastAsia" w:cstheme="minorEastAsia"/>
          <w:color w:val="000000" w:themeColor="text1"/>
          <w:spacing w:val="-28"/>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）个月之日起</w:t>
      </w:r>
      <w:r>
        <w:rPr>
          <w:rFonts w:hint="eastAsia" w:asciiTheme="minorEastAsia" w:hAnsiTheme="minorEastAsia" w:eastAsiaTheme="minorEastAsia" w:cstheme="minorEastAsia"/>
          <w:color w:val="000000" w:themeColor="text1"/>
          <w:spacing w:val="-28"/>
          <w:sz w:val="24"/>
          <w:szCs w:val="24"/>
          <w:lang w:val="en-US"/>
          <w14:textFill>
            <w14:solidFill>
              <w14:schemeClr w14:val="tx1"/>
            </w14:solidFill>
          </w14:textFill>
        </w:rPr>
        <w:t xml:space="preserve"> 5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个工作日内无息退还]</w:t>
      </w:r>
    </w:p>
    <w:p>
      <w:pPr>
        <w:pStyle w:val="2"/>
        <w:spacing w:before="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七、交货期、交货方式及交货地点</w:t>
      </w:r>
    </w:p>
    <w:p>
      <w:pPr>
        <w:pStyle w:val="16"/>
        <w:numPr>
          <w:ilvl w:val="0"/>
          <w:numId w:val="6"/>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交货期：合同签订后</w:t>
      </w:r>
      <w:r>
        <w:rPr>
          <w:rFonts w:hint="eastAsia" w:asciiTheme="minorEastAsia" w:hAnsiTheme="minorEastAsia" w:eastAsiaTheme="minorEastAsia" w:cstheme="minorEastAsia"/>
          <w:color w:val="000000" w:themeColor="text1"/>
          <w:spacing w:val="-3"/>
          <w:sz w:val="24"/>
          <w:szCs w:val="24"/>
          <w:lang w:val="en-US"/>
          <w14:textFill>
            <w14:solidFill>
              <w14:schemeClr w14:val="tx1"/>
            </w14:solidFill>
          </w14:textFill>
        </w:rPr>
        <w:t xml:space="preserve"> 60 </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p>
    <w:p>
      <w:pPr>
        <w:pStyle w:val="16"/>
        <w:numPr>
          <w:ilvl w:val="0"/>
          <w:numId w:val="6"/>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交货方式： 按甲方指定地点</w:t>
      </w:r>
      <w:r>
        <w:rPr>
          <w:rFonts w:hint="eastAsia" w:asciiTheme="minorEastAsia" w:hAnsiTheme="minorEastAsia" w:eastAsiaTheme="minorEastAsia" w:cstheme="minorEastAsia"/>
          <w:color w:val="000000" w:themeColor="text1"/>
          <w:sz w:val="24"/>
          <w:szCs w:val="24"/>
          <w14:textFill>
            <w14:solidFill>
              <w14:schemeClr w14:val="tx1"/>
            </w14:solidFill>
          </w14:textFill>
        </w:rPr>
        <w:t>送货上门</w:t>
      </w:r>
    </w:p>
    <w:p>
      <w:pPr>
        <w:pStyle w:val="16"/>
        <w:numPr>
          <w:ilvl w:val="0"/>
          <w:numId w:val="6"/>
        </w:numPr>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 xml:space="preserve">交货地点： </w:t>
      </w:r>
      <w:r>
        <w:rPr>
          <w:rFonts w:hint="eastAsia" w:asciiTheme="minorEastAsia" w:hAnsiTheme="minorEastAsia" w:eastAsiaTheme="minorEastAsia" w:cstheme="minorEastAsia"/>
          <w:color w:val="000000" w:themeColor="text1"/>
          <w:sz w:val="24"/>
          <w:szCs w:val="24"/>
          <w14:textFill>
            <w14:solidFill>
              <w14:schemeClr w14:val="tx1"/>
            </w14:solidFill>
          </w14:textFill>
        </w:rPr>
        <w:t>浙江省温州市鹿城区南汇街道六虹桥路蛟尾路9号</w:t>
      </w:r>
    </w:p>
    <w:p>
      <w:pPr>
        <w:tabs>
          <w:tab w:val="left" w:pos="522"/>
        </w:tabs>
        <w:ind w:left="105" w:right="5480"/>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八、</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货款支付</w:t>
      </w:r>
    </w:p>
    <w:p>
      <w:p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甲方按以下第1种方式支付乙方合同价款。</w:t>
      </w:r>
    </w:p>
    <w:p>
      <w:pPr>
        <w:pStyle w:val="3"/>
        <w:spacing w:before="2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1、一次性支付：</w:t>
      </w:r>
    </w:p>
    <w:p>
      <w:pPr>
        <w:pStyle w:val="3"/>
        <w:tabs>
          <w:tab w:val="left" w:pos="4877"/>
        </w:tabs>
        <w:spacing w:before="71"/>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本合同项下的全部货物安装调试完毕并经最终验收合格后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90</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个工作日内，甲方向乙方支付全部合同价款。</w:t>
      </w:r>
    </w:p>
    <w:p>
      <w:pPr>
        <w:pStyle w:val="3"/>
        <w:spacing w:before="69"/>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2、分期支付：</w:t>
      </w:r>
    </w:p>
    <w:p>
      <w:pPr>
        <w:pStyle w:val="16"/>
        <w:numPr>
          <w:ilvl w:val="0"/>
          <w:numId w:val="7"/>
        </w:numPr>
        <w:tabs>
          <w:tab w:val="left" w:pos="797"/>
          <w:tab w:val="left" w:pos="2800"/>
          <w:tab w:val="left" w:pos="5814"/>
          <w:tab w:val="left" w:pos="7603"/>
          <w:tab w:val="left" w:pos="8599"/>
        </w:tabs>
        <w:spacing w:before="69"/>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甲方应于本合同生效后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%作为预付款，计¥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16"/>
        <w:numPr>
          <w:ilvl w:val="0"/>
          <w:numId w:val="7"/>
        </w:numPr>
        <w:tabs>
          <w:tab w:val="left" w:pos="797"/>
          <w:tab w:val="left" w:pos="2632"/>
          <w:tab w:val="left" w:pos="6150"/>
          <w:tab w:val="left" w:pos="7098"/>
          <w:tab w:val="left" w:pos="8095"/>
        </w:tabs>
        <w:spacing w:before="118"/>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全部货物验收合格后</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个工作日内，甲方向乙方支付合同总价款的</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元（大写</w:t>
      </w:r>
      <w:r>
        <w:rPr>
          <w:rFonts w:hint="eastAsia" w:asciiTheme="minorEastAsia" w:hAnsiTheme="minorEastAsia" w:eastAsiaTheme="minorEastAsia" w:cstheme="minorEastAsia"/>
          <w:color w:val="000000" w:themeColor="text1"/>
          <w:sz w:val="24"/>
          <w:szCs w:val="24"/>
          <w:u w:val="single" w:color="4068E0"/>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color="4068E0"/>
          <w:lang w:val="en-US"/>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元整）。</w:t>
      </w:r>
    </w:p>
    <w:p>
      <w:pPr>
        <w:pStyle w:val="2"/>
        <w:spacing w:before="166"/>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九、税费</w:t>
      </w:r>
    </w:p>
    <w:p>
      <w:pPr>
        <w:pStyle w:val="3"/>
        <w:spacing w:before="23"/>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本合同执行中相关的一切税费均由乙方负担。</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十、质量保证及售后服务</w:t>
      </w:r>
    </w:p>
    <w:p>
      <w:pPr>
        <w:pStyle w:val="16"/>
        <w:numPr>
          <w:ilvl w:val="0"/>
          <w:numId w:val="8"/>
        </w:numPr>
        <w:tabs>
          <w:tab w:val="left" w:pos="522"/>
        </w:tabs>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乙方保证本合同中所供应的商品是最新生产的符合国家技术规格和质量标准的出厂原装的合格产品。如发生所供商品与合同不符，甲方（采购单位）有权拒收或退货，由此产生的一切责任和后果由乙方承担。</w:t>
      </w:r>
    </w:p>
    <w:p>
      <w:pPr>
        <w:pStyle w:val="16"/>
        <w:numPr>
          <w:ilvl w:val="0"/>
          <w:numId w:val="8"/>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16"/>
        <w:numPr>
          <w:ilvl w:val="0"/>
          <w:numId w:val="9"/>
        </w:numPr>
        <w:tabs>
          <w:tab w:val="left" w:pos="797"/>
        </w:tabs>
        <w:spacing w:before="0"/>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更换：由乙方承担所发生的全部费用。</w:t>
      </w:r>
    </w:p>
    <w:p>
      <w:pPr>
        <w:pStyle w:val="16"/>
        <w:numPr>
          <w:ilvl w:val="0"/>
          <w:numId w:val="9"/>
        </w:numPr>
        <w:tabs>
          <w:tab w:val="left" w:pos="797"/>
        </w:tabs>
        <w:spacing w:before="22"/>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贬值处理：由甲乙双方合议定价。</w:t>
      </w:r>
    </w:p>
    <w:p>
      <w:pPr>
        <w:pStyle w:val="16"/>
        <w:numPr>
          <w:ilvl w:val="0"/>
          <w:numId w:val="9"/>
        </w:numPr>
        <w:tabs>
          <w:tab w:val="left" w:pos="797"/>
        </w:tabs>
        <w:ind w:hanging="44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退货处理：乙方应退还甲方支付的合同款，同时应承担该货物的直接费用（运输、保险、检验、货款利息及银行手续费等）。</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在质保期内，乙方应对货物出现的质量及安全问题负责处理解决并承担一切费用。</w:t>
      </w:r>
    </w:p>
    <w:p>
      <w:pPr>
        <w:pStyle w:val="16"/>
        <w:numPr>
          <w:ilvl w:val="0"/>
          <w:numId w:val="8"/>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上述的货物在质保期内免费保修，因人为因素出现的故障不在免费保修范围内。超过保修期的机器设备，终生维修，维修时只收部件成本费。乙方应当在甲方通知维修后2日内到达货物所在地进行维修。</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十一、调试和验收</w:t>
      </w:r>
    </w:p>
    <w:p>
      <w:pPr>
        <w:pStyle w:val="16"/>
        <w:numPr>
          <w:ilvl w:val="0"/>
          <w:numId w:val="10"/>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甲方对乙方提交的货物依据招标文件上的技术规格要求和国家有关质量标准进行现场验收。货到后，甲方需在二十个工作日内验收（质量等隐蔽瑕疵除外）。</w:t>
      </w:r>
    </w:p>
    <w:p>
      <w:pPr>
        <w:pStyle w:val="16"/>
        <w:numPr>
          <w:ilvl w:val="0"/>
          <w:numId w:val="10"/>
        </w:numPr>
        <w:tabs>
          <w:tab w:val="left" w:pos="522"/>
        </w:tabs>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16"/>
        <w:numPr>
          <w:ilvl w:val="0"/>
          <w:numId w:val="10"/>
        </w:numPr>
        <w:tabs>
          <w:tab w:val="left" w:pos="522"/>
        </w:tabs>
        <w:spacing w:before="0"/>
        <w:ind w:left="111" w:right="101" w:firstLine="24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甲方对乙方提供的货物在使用前进行调试时，乙方需负责安装并培训甲方的使用操作人员，并协助甲方一起调试，直到符合技术要求，    甲方才做最终验收。</w:t>
      </w:r>
    </w:p>
    <w:p>
      <w:pPr>
        <w:pStyle w:val="16"/>
        <w:numPr>
          <w:ilvl w:val="0"/>
          <w:numId w:val="10"/>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对技术复杂的货物，甲方应请国家认可的专业检测机构参与验收，并由其出具质量检测报告。</w:t>
      </w:r>
    </w:p>
    <w:p>
      <w:pPr>
        <w:pStyle w:val="16"/>
        <w:numPr>
          <w:ilvl w:val="0"/>
          <w:numId w:val="10"/>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验收时乙方必须在现场，验收完毕后作出验收结果报告；验收费用由乙方负责。</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十二、货物包装</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乙方应在货物发运前对其进行满足运输距离、防潮、防震、防锈和防破损装卸等要求包装，以保证货物安全运达甲方指定地点。</w:t>
      </w:r>
    </w:p>
    <w:p>
      <w:pPr>
        <w:pStyle w:val="16"/>
        <w:numPr>
          <w:ilvl w:val="0"/>
          <w:numId w:val="11"/>
        </w:numPr>
        <w:tabs>
          <w:tab w:val="left" w:pos="522"/>
        </w:tabs>
        <w:spacing w:before="2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b/>
      </w:r>
      <w:r>
        <w:rPr>
          <w:rFonts w:hint="eastAsia" w:asciiTheme="minorEastAsia" w:hAnsiTheme="minorEastAsia" w:eastAsiaTheme="minorEastAsia" w:cstheme="minorEastAsia"/>
          <w:color w:val="000000" w:themeColor="text1"/>
          <w:sz w:val="24"/>
          <w:szCs w:val="24"/>
          <w14:textFill>
            <w14:solidFill>
              <w14:schemeClr w14:val="tx1"/>
            </w14:solidFill>
          </w14:textFill>
        </w:rPr>
        <w:t>使用说明书、质量检验证明书、随配附件和工具以及清单一并附于货物内。</w:t>
      </w:r>
    </w:p>
    <w:p>
      <w:pPr>
        <w:pStyle w:val="16"/>
        <w:tabs>
          <w:tab w:val="left" w:pos="522"/>
        </w:tabs>
        <w:ind w:left="0" w:right="4471" w:firstLine="0"/>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pacing w:val="10"/>
          <w:sz w:val="24"/>
          <w:szCs w:val="24"/>
          <w14:textFill>
            <w14:solidFill>
              <w14:schemeClr w14:val="tx1"/>
            </w14:solidFill>
          </w14:textFill>
        </w:rPr>
        <w:t>十三、违约责任</w:t>
      </w:r>
    </w:p>
    <w:p>
      <w:pPr>
        <w:pStyle w:val="16"/>
        <w:numPr>
          <w:ilvl w:val="0"/>
          <w:numId w:val="12"/>
        </w:numPr>
        <w:tabs>
          <w:tab w:val="left" w:pos="522"/>
        </w:tabs>
        <w:spacing w:before="0"/>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甲方无正当理由拒收货物的，甲方向乙方偿付拒收货款总值的</w:t>
      </w:r>
      <w:r>
        <w:rPr>
          <w:rFonts w:hint="eastAsia" w:asciiTheme="minorEastAsia" w:hAnsiTheme="minorEastAsia" w:eastAsiaTheme="minorEastAsia" w:cstheme="minorEastAsia"/>
          <w:color w:val="000000" w:themeColor="text1"/>
          <w:spacing w:val="3"/>
          <w:sz w:val="24"/>
          <w:szCs w:val="24"/>
          <w:u w:val="single" w:color="4068E0"/>
          <w14:textFill>
            <w14:solidFill>
              <w14:schemeClr w14:val="tx1"/>
            </w14:solidFill>
          </w14:textFill>
        </w:rPr>
        <w:t xml:space="preserve"> 百分之五</w:t>
      </w:r>
      <w:r>
        <w:rPr>
          <w:rFonts w:hint="eastAsia" w:asciiTheme="minorEastAsia" w:hAnsiTheme="minorEastAsia" w:eastAsiaTheme="minorEastAsia" w:cstheme="minorEastAsia"/>
          <w:color w:val="000000" w:themeColor="text1"/>
          <w:spacing w:val="45"/>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违约金。</w:t>
      </w:r>
    </w:p>
    <w:p>
      <w:pPr>
        <w:pStyle w:val="16"/>
        <w:numPr>
          <w:ilvl w:val="0"/>
          <w:numId w:val="12"/>
        </w:numPr>
        <w:tabs>
          <w:tab w:val="left" w:pos="522"/>
        </w:tabs>
        <w:spacing w:before="117"/>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甲方无故逾期验收和办理货款支付手续的,甲方应按逾期付款总额每日</w:t>
      </w:r>
      <w:r>
        <w:rPr>
          <w:rFonts w:hint="eastAsia" w:asciiTheme="minorEastAsia" w:hAnsiTheme="minorEastAsia" w:eastAsiaTheme="minorEastAsia" w:cstheme="minorEastAsia"/>
          <w:color w:val="000000" w:themeColor="text1"/>
          <w:spacing w:val="2"/>
          <w:sz w:val="24"/>
          <w:szCs w:val="24"/>
          <w:u w:val="single" w:color="4068E0"/>
          <w14:textFill>
            <w14:solidFill>
              <w14:schemeClr w14:val="tx1"/>
            </w14:solidFill>
          </w14:textFill>
        </w:rPr>
        <w:t xml:space="preserve"> 万分之五</w:t>
      </w:r>
      <w:r>
        <w:rPr>
          <w:rFonts w:hint="eastAsia" w:asciiTheme="minorEastAsia" w:hAnsiTheme="minorEastAsia" w:eastAsiaTheme="minorEastAsia" w:cstheme="minorEastAsia"/>
          <w:color w:val="000000" w:themeColor="text1"/>
          <w:spacing w:val="43"/>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向乙方支付违约金。</w:t>
      </w:r>
    </w:p>
    <w:p>
      <w:pPr>
        <w:pStyle w:val="16"/>
        <w:numPr>
          <w:ilvl w:val="0"/>
          <w:numId w:val="12"/>
        </w:numPr>
        <w:tabs>
          <w:tab w:val="left" w:pos="522"/>
        </w:tabs>
        <w:spacing w:before="11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乙方逾期交付货物的，乙方应按逾期交货总额每日</w:t>
      </w:r>
      <w:r>
        <w:rPr>
          <w:rFonts w:hint="eastAsia" w:asciiTheme="minorEastAsia" w:hAnsiTheme="minorEastAsia" w:eastAsiaTheme="minorEastAsia" w:cstheme="minorEastAsia"/>
          <w:color w:val="000000" w:themeColor="text1"/>
          <w:spacing w:val="15"/>
          <w:sz w:val="24"/>
          <w:szCs w:val="24"/>
          <w:u w:val="single" w:color="4068E0"/>
          <w14:textFill>
            <w14:solidFill>
              <w14:schemeClr w14:val="tx1"/>
            </w14:solidFill>
          </w14:textFill>
        </w:rPr>
        <w:t xml:space="preserve"> 千分之六</w:t>
      </w:r>
      <w:r>
        <w:rPr>
          <w:rFonts w:hint="eastAsia" w:asciiTheme="minorEastAsia" w:hAnsiTheme="minorEastAsia" w:eastAsiaTheme="minorEastAsia" w:cstheme="minorEastAsia"/>
          <w:color w:val="000000" w:themeColor="text1"/>
          <w:spacing w:val="29"/>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向甲方支付违约金，由甲方从待付货款中扣除。逾期超过约定日期   10 个工作日不能交货的，甲方可解除本合同。乙方因逾期交货或因其他违约行为导致甲方解除合同的，乙方应向甲方支付合同总值</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5</w:t>
      </w:r>
      <w:r>
        <w:rPr>
          <w:rFonts w:hint="eastAsia" w:asciiTheme="minorEastAsia" w:hAnsiTheme="minorEastAsia" w:eastAsiaTheme="minorEastAsia" w:cstheme="minorEastAsia"/>
          <w:color w:val="000000" w:themeColor="text1"/>
          <w:sz w:val="24"/>
          <w:szCs w:val="24"/>
          <w14:textFill>
            <w14:solidFill>
              <w14:schemeClr w14:val="tx1"/>
            </w14:solidFill>
          </w14:textFill>
        </w:rPr>
        <w:t>%的违约金，如造成甲方损失超过违约金的，超出部分由乙方继续承担赔偿责任。</w:t>
      </w:r>
    </w:p>
    <w:p>
      <w:pPr>
        <w:pStyle w:val="16"/>
        <w:numPr>
          <w:ilvl w:val="0"/>
          <w:numId w:val="12"/>
        </w:numP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spacing w:before="8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十四、不可抗力事件处理</w:t>
      </w:r>
    </w:p>
    <w:p>
      <w:pPr>
        <w:pStyle w:val="16"/>
        <w:numPr>
          <w:ilvl w:val="0"/>
          <w:numId w:val="13"/>
        </w:numPr>
        <w:tabs>
          <w:tab w:val="left" w:pos="522"/>
        </w:tabs>
        <w:spacing w:before="106"/>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在合同有效期内，任何一方因不可抗力事件导致不能履行合同，双方协商后，则合同履行期可延长，其延长期与不可抗力影响期相同。</w:t>
      </w:r>
    </w:p>
    <w:p>
      <w:pPr>
        <w:pStyle w:val="16"/>
        <w:numPr>
          <w:ilvl w:val="0"/>
          <w:numId w:val="13"/>
        </w:numPr>
        <w:tabs>
          <w:tab w:val="left" w:pos="522"/>
        </w:tabs>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不可抗力事件发生后，应立即通知对方，并寄送有关权威机构出具的证明。</w:t>
      </w:r>
    </w:p>
    <w:p>
      <w:pPr>
        <w:pStyle w:val="16"/>
        <w:numPr>
          <w:ilvl w:val="0"/>
          <w:numId w:val="13"/>
        </w:numPr>
        <w:tabs>
          <w:tab w:val="left" w:pos="522"/>
        </w:tabs>
        <w:spacing w:before="22"/>
        <w:ind w:hanging="17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xml:space="preserve">不可抗力事件延续 </w:t>
      </w:r>
      <w:r>
        <w:rPr>
          <w:rFonts w:hint="eastAsia" w:asciiTheme="minorEastAsia" w:hAnsiTheme="minorEastAsia" w:eastAsiaTheme="minorEastAsia" w:cstheme="minorEastAsia"/>
          <w:color w:val="000000" w:themeColor="text1"/>
          <w:sz w:val="24"/>
          <w:szCs w:val="24"/>
          <w14:textFill>
            <w14:solidFill>
              <w14:schemeClr w14:val="tx1"/>
            </w14:solidFill>
          </w14:textFill>
        </w:rPr>
        <w:t>120天以上，双方可以通过友好协商，确定是否继续履行合同。</w:t>
      </w:r>
    </w:p>
    <w:p>
      <w:pPr>
        <w:pStyle w:val="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十五、诉讼</w:t>
      </w:r>
    </w:p>
    <w:p>
      <w:pPr>
        <w:pStyle w:val="3"/>
        <w:spacing w:before="22"/>
        <w:ind w:left="35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双方在执行合同中所发生的一切争议，应通过协商解决。如协商不成，可向甲方所在地法院起诉。</w:t>
      </w:r>
    </w:p>
    <w:p>
      <w:pPr>
        <w:pStyle w:val="2"/>
        <w:spacing w:before="1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十六、合同生效及其它</w:t>
      </w:r>
    </w:p>
    <w:p>
      <w:pPr>
        <w:pStyle w:val="16"/>
        <w:numPr>
          <w:ilvl w:val="0"/>
          <w:numId w:val="14"/>
        </w:numPr>
        <w:tabs>
          <w:tab w:val="left" w:pos="522"/>
        </w:tabs>
        <w:ind w:hanging="1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本合同经甲、乙双方签字并加盖单位公章后生效。</w:t>
      </w:r>
    </w:p>
    <w:p>
      <w:pPr>
        <w:pStyle w:val="16"/>
        <w:numPr>
          <w:ilvl w:val="0"/>
          <w:numId w:val="14"/>
        </w:numPr>
        <w:tabs>
          <w:tab w:val="left" w:pos="522"/>
        </w:tabs>
        <w:ind w:left="111" w:right="101" w:firstLine="2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招标文件、投标文件、项目采购协议或入围承诺书与本合同具有同等法律效力。如前述各项文件之间约定不一致的，应以最新签署的文件内容为准。</w:t>
      </w:r>
    </w:p>
    <w:p>
      <w:pPr>
        <w:pStyle w:val="16"/>
        <w:numPr>
          <w:ilvl w:val="0"/>
          <w:numId w:val="14"/>
        </w:numPr>
        <w:tabs>
          <w:tab w:val="left" w:pos="522"/>
        </w:tabs>
        <w:spacing w:befor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本合同未尽事宜，以招投标文件为准。</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本合同一式三份，甲方执二份，乙方执一份，具有同等法律效力。</w:t>
      </w:r>
    </w:p>
    <w:p>
      <w:pPr>
        <w:pStyle w:val="16"/>
        <w:numPr>
          <w:ilvl w:val="0"/>
          <w:numId w:val="1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附件设备配置清单系本合同不可分割的组成部分，与本合同具有同等法律效力。</w:t>
      </w: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温州市中医院</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地址：温州市六虹桥路蛟尾路9号                     地址：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法定（授权）代表人：                              法定（授权）代表人： </w:t>
      </w:r>
    </w:p>
    <w:p>
      <w:pPr>
        <w:pStyle w:val="3"/>
        <w:spacing w:before="106" w:line="264" w:lineRule="auto"/>
        <w:ind w:left="105" w:right="2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签字日期：    年    月    日                      签字日期：    年   月   日</w:t>
      </w:r>
    </w:p>
    <w:p>
      <w:pPr>
        <w:widowControl/>
        <w:jc w:val="left"/>
        <w:rPr>
          <w:rFonts w:hint="eastAsia" w:asciiTheme="minorEastAsia" w:hAnsiTheme="minorEastAsia" w:eastAsiaTheme="minorEastAsia" w:cstheme="minorEastAsia"/>
          <w:kern w:val="0"/>
          <w:sz w:val="24"/>
          <w:szCs w:val="24"/>
          <w:lang w:val="zh-CN" w:bidi="zh-CN"/>
        </w:rPr>
      </w:pPr>
      <w:r>
        <w:rPr>
          <w:rFonts w:hint="eastAsia" w:asciiTheme="minorEastAsia" w:hAnsiTheme="minorEastAsia" w:eastAsiaTheme="minorEastAsia" w:cstheme="minorEastAsia"/>
          <w:sz w:val="24"/>
          <w:szCs w:val="24"/>
        </w:rPr>
        <w:br w:type="page"/>
      </w:r>
    </w:p>
    <w:p>
      <w:pPr>
        <w:jc w:val="center"/>
        <w:rPr>
          <w:b/>
          <w:sz w:val="36"/>
          <w:szCs w:val="36"/>
        </w:rPr>
      </w:pPr>
      <w:r>
        <w:rPr>
          <w:rFonts w:hint="eastAsia"/>
          <w:b/>
          <w:sz w:val="36"/>
          <w:szCs w:val="36"/>
        </w:rPr>
        <w:t>设备配置清单</w:t>
      </w:r>
    </w:p>
    <w:p>
      <w:pPr>
        <w:pStyle w:val="3"/>
        <w:rPr>
          <w:sz w:val="20"/>
        </w:rPr>
      </w:pPr>
    </w:p>
    <w:tbl>
      <w:tblPr>
        <w:tblStyle w:val="8"/>
        <w:tblpPr w:leftFromText="180" w:rightFromText="180" w:vertAnchor="text" w:horzAnchor="margin" w:tblpXSpec="center" w:tblpY="357"/>
        <w:tblOverlap w:val="never"/>
        <w:tblW w:w="91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992"/>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4" w:type="dxa"/>
          </w:tcPr>
          <w:p>
            <w:pPr>
              <w:jc w:val="center"/>
              <w:rPr>
                <w:b/>
                <w:sz w:val="21"/>
                <w:szCs w:val="21"/>
              </w:rPr>
            </w:pPr>
            <w:r>
              <w:rPr>
                <w:rFonts w:hint="eastAsia"/>
                <w:b/>
                <w:sz w:val="21"/>
                <w:szCs w:val="21"/>
              </w:rPr>
              <w:t>序号</w:t>
            </w:r>
          </w:p>
        </w:tc>
        <w:tc>
          <w:tcPr>
            <w:tcW w:w="992" w:type="dxa"/>
            <w:vAlign w:val="center"/>
          </w:tcPr>
          <w:p>
            <w:pPr>
              <w:jc w:val="center"/>
              <w:rPr>
                <w:b/>
                <w:sz w:val="21"/>
                <w:szCs w:val="21"/>
              </w:rPr>
            </w:pPr>
            <w:r>
              <w:rPr>
                <w:rFonts w:hint="eastAsia"/>
                <w:b/>
                <w:sz w:val="21"/>
                <w:szCs w:val="21"/>
              </w:rPr>
              <w:t>品牌</w:t>
            </w:r>
          </w:p>
        </w:tc>
        <w:tc>
          <w:tcPr>
            <w:tcW w:w="2934" w:type="dxa"/>
            <w:vAlign w:val="center"/>
          </w:tcPr>
          <w:p>
            <w:pPr>
              <w:jc w:val="center"/>
              <w:rPr>
                <w:b/>
                <w:sz w:val="21"/>
                <w:szCs w:val="21"/>
              </w:rPr>
            </w:pPr>
            <w:r>
              <w:rPr>
                <w:rFonts w:hint="eastAsia"/>
                <w:b/>
                <w:sz w:val="21"/>
                <w:szCs w:val="21"/>
              </w:rPr>
              <w:t>产品名称</w:t>
            </w:r>
          </w:p>
        </w:tc>
        <w:tc>
          <w:tcPr>
            <w:tcW w:w="1815" w:type="dxa"/>
            <w:vAlign w:val="center"/>
          </w:tcPr>
          <w:p>
            <w:pPr>
              <w:jc w:val="center"/>
              <w:rPr>
                <w:b/>
                <w:sz w:val="21"/>
                <w:szCs w:val="21"/>
              </w:rPr>
            </w:pPr>
            <w:r>
              <w:rPr>
                <w:rFonts w:hint="eastAsia"/>
                <w:b/>
                <w:sz w:val="21"/>
                <w:szCs w:val="21"/>
              </w:rPr>
              <w:t>规格型号</w:t>
            </w:r>
          </w:p>
        </w:tc>
        <w:tc>
          <w:tcPr>
            <w:tcW w:w="705" w:type="dxa"/>
            <w:vAlign w:val="center"/>
          </w:tcPr>
          <w:p>
            <w:pPr>
              <w:jc w:val="center"/>
              <w:rPr>
                <w:b/>
                <w:sz w:val="21"/>
                <w:szCs w:val="21"/>
              </w:rPr>
            </w:pPr>
            <w:r>
              <w:rPr>
                <w:rFonts w:hint="eastAsia"/>
                <w:b/>
                <w:sz w:val="21"/>
                <w:szCs w:val="21"/>
              </w:rPr>
              <w:t>数量</w:t>
            </w:r>
          </w:p>
        </w:tc>
        <w:tc>
          <w:tcPr>
            <w:tcW w:w="1110" w:type="dxa"/>
            <w:vAlign w:val="center"/>
          </w:tcPr>
          <w:p>
            <w:pPr>
              <w:jc w:val="center"/>
              <w:rPr>
                <w:b/>
                <w:sz w:val="21"/>
                <w:szCs w:val="21"/>
              </w:rPr>
            </w:pPr>
            <w:r>
              <w:rPr>
                <w:rFonts w:hint="eastAsia"/>
                <w:b/>
                <w:sz w:val="21"/>
                <w:szCs w:val="21"/>
              </w:rPr>
              <w:t>金额（元）</w:t>
            </w:r>
          </w:p>
        </w:tc>
        <w:tc>
          <w:tcPr>
            <w:tcW w:w="930" w:type="dxa"/>
            <w:vAlign w:val="center"/>
          </w:tcPr>
          <w:p>
            <w:pPr>
              <w:jc w:val="center"/>
              <w:rPr>
                <w:b/>
                <w:sz w:val="21"/>
                <w:szCs w:val="21"/>
              </w:rPr>
            </w:pPr>
            <w:r>
              <w:rPr>
                <w:rFonts w:hint="eastAsia"/>
                <w:b/>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5</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6</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7</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8</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9</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10</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11</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12</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13</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04" w:type="dxa"/>
          </w:tcPr>
          <w:p>
            <w:pPr>
              <w:rPr>
                <w:sz w:val="21"/>
                <w:szCs w:val="21"/>
              </w:rPr>
            </w:pPr>
            <w:r>
              <w:rPr>
                <w:rFonts w:hint="eastAsia"/>
                <w:sz w:val="21"/>
                <w:szCs w:val="21"/>
              </w:rPr>
              <w:t>14</w:t>
            </w:r>
          </w:p>
        </w:tc>
        <w:tc>
          <w:tcPr>
            <w:tcW w:w="992" w:type="dxa"/>
            <w:vAlign w:val="center"/>
          </w:tcPr>
          <w:p>
            <w:pPr>
              <w:tabs>
                <w:tab w:val="left" w:pos="1418"/>
              </w:tabs>
              <w:snapToGrid w:val="0"/>
              <w:spacing w:before="50" w:after="50" w:line="276" w:lineRule="auto"/>
              <w:jc w:val="center"/>
              <w:rPr>
                <w:spacing w:val="20"/>
                <w:sz w:val="21"/>
                <w:szCs w:val="21"/>
              </w:rPr>
            </w:pPr>
          </w:p>
        </w:tc>
        <w:tc>
          <w:tcPr>
            <w:tcW w:w="2934" w:type="dxa"/>
            <w:vAlign w:val="center"/>
          </w:tcPr>
          <w:p>
            <w:pPr>
              <w:tabs>
                <w:tab w:val="left" w:pos="1418"/>
              </w:tabs>
              <w:snapToGrid w:val="0"/>
              <w:spacing w:before="50" w:after="50" w:line="276" w:lineRule="auto"/>
              <w:jc w:val="center"/>
              <w:rPr>
                <w:spacing w:val="20"/>
                <w:sz w:val="21"/>
                <w:szCs w:val="21"/>
              </w:rPr>
            </w:pPr>
          </w:p>
        </w:tc>
        <w:tc>
          <w:tcPr>
            <w:tcW w:w="1815" w:type="dxa"/>
            <w:vAlign w:val="center"/>
          </w:tcPr>
          <w:p>
            <w:pPr>
              <w:rPr>
                <w:spacing w:val="20"/>
                <w:sz w:val="21"/>
                <w:szCs w:val="21"/>
              </w:rPr>
            </w:pPr>
          </w:p>
        </w:tc>
        <w:tc>
          <w:tcPr>
            <w:tcW w:w="705" w:type="dxa"/>
          </w:tcPr>
          <w:p>
            <w:pPr>
              <w:rPr>
                <w:sz w:val="21"/>
                <w:szCs w:val="21"/>
              </w:rPr>
            </w:pPr>
          </w:p>
        </w:tc>
        <w:tc>
          <w:tcPr>
            <w:tcW w:w="1110" w:type="dxa"/>
            <w:vAlign w:val="center"/>
          </w:tcPr>
          <w:p>
            <w:pPr>
              <w:tabs>
                <w:tab w:val="left" w:pos="1418"/>
              </w:tabs>
              <w:snapToGrid w:val="0"/>
              <w:spacing w:before="50" w:after="50" w:line="276" w:lineRule="auto"/>
              <w:jc w:val="center"/>
              <w:rPr>
                <w:sz w:val="21"/>
                <w:szCs w:val="21"/>
              </w:rPr>
            </w:pPr>
          </w:p>
        </w:tc>
        <w:tc>
          <w:tcPr>
            <w:tcW w:w="930" w:type="dxa"/>
          </w:tcPr>
          <w:p>
            <w:pPr>
              <w:rPr>
                <w:sz w:val="21"/>
                <w:szCs w:val="21"/>
              </w:rPr>
            </w:pPr>
          </w:p>
        </w:tc>
      </w:tr>
    </w:tbl>
    <w:p>
      <w:pPr>
        <w:pStyle w:val="3"/>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18"/>
          <w:szCs w:val="20"/>
        </w:rPr>
      </w:pPr>
      <w:r>
        <w:rPr>
          <w:rFonts w:ascii="Calibri" w:hAnsi="Calibri" w:eastAsia="宋体" w:cs="Times New Roman"/>
          <w:sz w:val="18"/>
          <w:szCs w:val="20"/>
        </w:rPr>
        <w:t>甲方</w:t>
      </w:r>
      <w:r>
        <w:rPr>
          <w:rFonts w:ascii="Calibri" w:hAnsi="Calibri" w:eastAsia="宋体" w:cs="Times New Roman"/>
          <w:bCs/>
          <w:sz w:val="18"/>
          <w:szCs w:val="20"/>
        </w:rPr>
        <w:t>：</w:t>
      </w:r>
      <w:r>
        <w:rPr>
          <w:rFonts w:hint="eastAsia" w:ascii="Calibri" w:hAnsi="Calibri" w:eastAsia="宋体" w:cs="Times New Roman"/>
          <w:bCs/>
          <w:sz w:val="18"/>
          <w:szCs w:val="20"/>
        </w:rPr>
        <w:t>温州市中医院</w:t>
      </w:r>
    </w:p>
    <w:p>
      <w:pPr>
        <w:spacing w:line="440" w:lineRule="exact"/>
        <w:rPr>
          <w:rFonts w:hint="eastAsia" w:ascii="Calibri" w:hAnsi="Calibri" w:eastAsia="宋体" w:cs="Times New Roman"/>
          <w:bCs/>
          <w:sz w:val="18"/>
          <w:szCs w:val="20"/>
        </w:rPr>
      </w:pPr>
      <w:r>
        <w:rPr>
          <w:rFonts w:ascii="Calibri" w:hAnsi="Calibri" w:eastAsia="宋体" w:cs="Times New Roman"/>
          <w:sz w:val="18"/>
          <w:szCs w:val="20"/>
        </w:rPr>
        <w:t>乙方</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为进一步加强医疗卫生行风建设，规范医疗卫生机构</w:t>
      </w:r>
      <w:r>
        <w:rPr>
          <w:rFonts w:hint="eastAsia" w:ascii="Calibri" w:hAnsi="Calibri" w:eastAsia="宋体" w:cs="Times New Roman"/>
          <w:bCs/>
          <w:sz w:val="18"/>
          <w:szCs w:val="20"/>
        </w:rPr>
        <w:t>各类</w:t>
      </w:r>
      <w:r>
        <w:rPr>
          <w:rFonts w:ascii="Calibri" w:hAnsi="Calibri" w:eastAsia="宋体" w:cs="Times New Roman"/>
          <w:bCs/>
          <w:sz w:val="18"/>
          <w:szCs w:val="20"/>
        </w:rPr>
        <w:t>购销行为，有效防范商业贿赂行为，营造公平交易、诚实守信的</w:t>
      </w:r>
      <w:r>
        <w:rPr>
          <w:rFonts w:hint="eastAsia" w:ascii="Calibri" w:hAnsi="Calibri" w:eastAsia="宋体" w:cs="Times New Roman"/>
          <w:bCs/>
          <w:sz w:val="18"/>
          <w:szCs w:val="20"/>
        </w:rPr>
        <w:t>“清廉医院”</w:t>
      </w:r>
      <w:r>
        <w:rPr>
          <w:rFonts w:ascii="Calibri" w:hAnsi="Calibri" w:eastAsia="宋体" w:cs="Times New Roman"/>
          <w:bCs/>
          <w:sz w:val="18"/>
          <w:szCs w:val="20"/>
        </w:rPr>
        <w:t>购销环境，经甲、乙双方协商，同意签订本合同，并共同遵守：</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一、甲乙双方按照《</w:t>
      </w:r>
      <w:r>
        <w:rPr>
          <w:rFonts w:hint="eastAsia" w:ascii="Calibri" w:hAnsi="Calibri" w:eastAsia="宋体" w:cs="Times New Roman"/>
          <w:bCs/>
          <w:sz w:val="18"/>
          <w:szCs w:val="20"/>
        </w:rPr>
        <w:t>民法典</w:t>
      </w:r>
      <w:r>
        <w:rPr>
          <w:rFonts w:ascii="Calibri" w:hAnsi="Calibri" w:eastAsia="宋体" w:cs="Times New Roman"/>
          <w:bCs/>
          <w:sz w:val="18"/>
          <w:szCs w:val="20"/>
        </w:rPr>
        <w:t>》</w:t>
      </w:r>
      <w:r>
        <w:rPr>
          <w:rFonts w:hint="eastAsia" w:ascii="Calibri" w:hAnsi="Calibri" w:eastAsia="宋体" w:cs="Times New Roman"/>
          <w:bCs/>
          <w:sz w:val="18"/>
          <w:szCs w:val="20"/>
        </w:rPr>
        <w:t>等相关法规要求，约定</w:t>
      </w:r>
      <w:r>
        <w:rPr>
          <w:rFonts w:ascii="Calibri" w:hAnsi="Calibri" w:eastAsia="宋体" w:cs="Times New Roman"/>
          <w:bCs/>
          <w:sz w:val="18"/>
          <w:szCs w:val="20"/>
        </w:rPr>
        <w:t>购销</w:t>
      </w:r>
      <w:r>
        <w:rPr>
          <w:rFonts w:hint="eastAsia" w:ascii="Calibri" w:hAnsi="Calibri" w:eastAsia="宋体" w:cs="Times New Roman"/>
          <w:bCs/>
          <w:sz w:val="18"/>
          <w:szCs w:val="20"/>
        </w:rPr>
        <w:t>包括但不限于</w:t>
      </w:r>
      <w:r>
        <w:rPr>
          <w:rFonts w:ascii="Calibri" w:hAnsi="Calibri" w:eastAsia="宋体" w:cs="Times New Roman"/>
          <w:bCs/>
          <w:sz w:val="18"/>
          <w:szCs w:val="20"/>
        </w:rPr>
        <w:t>药品、设备、耗材</w:t>
      </w:r>
      <w:r>
        <w:rPr>
          <w:rFonts w:hint="eastAsia" w:ascii="Calibri" w:hAnsi="Calibri" w:eastAsia="宋体" w:cs="Times New Roman"/>
          <w:bCs/>
          <w:sz w:val="18"/>
          <w:szCs w:val="20"/>
        </w:rPr>
        <w:t>、维保</w:t>
      </w:r>
      <w:r>
        <w:rPr>
          <w:rFonts w:ascii="Calibri" w:hAnsi="Calibri" w:eastAsia="宋体" w:cs="Times New Roman"/>
          <w:bCs/>
          <w:sz w:val="18"/>
          <w:szCs w:val="20"/>
        </w:rPr>
        <w:t>等</w:t>
      </w:r>
      <w:r>
        <w:rPr>
          <w:rFonts w:hint="eastAsia" w:ascii="Calibri" w:hAnsi="Calibri" w:eastAsia="宋体" w:cs="Times New Roman"/>
          <w:bCs/>
          <w:sz w:val="18"/>
          <w:szCs w:val="20"/>
        </w:rPr>
        <w:t>货物或服务</w:t>
      </w:r>
      <w:r>
        <w:rPr>
          <w:rFonts w:ascii="Calibri" w:hAnsi="Calibri" w:eastAsia="宋体" w:cs="Times New Roman"/>
          <w:bCs/>
          <w:sz w:val="18"/>
          <w:szCs w:val="20"/>
        </w:rPr>
        <w:t>。</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二、甲方应当严格执行合同验收、入库制度，对采购产品及发票进行查验，不得违反有关规定合同外采购、违价采购或从非规定渠道采购。</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四、严禁甲方工作人员利用任何途径和方式，为乙方统计医师个人及临床科室有关医药产品用量信息，或为乙方统计提供便利。</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五、乙方不得以回扣、宴请等方式影响甲方工作人员采购</w:t>
      </w:r>
      <w:r>
        <w:rPr>
          <w:rFonts w:hint="eastAsia" w:ascii="Calibri" w:hAnsi="Calibri" w:eastAsia="宋体" w:cs="Times New Roman"/>
          <w:bCs/>
          <w:sz w:val="18"/>
          <w:szCs w:val="20"/>
        </w:rPr>
        <w:t>或使用</w:t>
      </w:r>
      <w:r>
        <w:rPr>
          <w:rFonts w:ascii="Calibri" w:hAnsi="Calibri" w:eastAsia="宋体" w:cs="Times New Roman"/>
          <w:bCs/>
          <w:sz w:val="18"/>
          <w:szCs w:val="20"/>
        </w:rPr>
        <w:t>产品的选择权，不得在学术活动中提供旅游、超标准支付食宿费用。</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六、乙方指定</w:t>
      </w:r>
      <w:r>
        <w:rPr>
          <w:rFonts w:ascii="Calibri" w:hAnsi="Calibri" w:eastAsia="宋体" w:cs="Times New Roman"/>
          <w:bCs/>
          <w:sz w:val="18"/>
          <w:szCs w:val="20"/>
          <w:u w:val="single"/>
        </w:rPr>
        <w:t xml:space="preserve">                        </w:t>
      </w:r>
      <w:r>
        <w:rPr>
          <w:rFonts w:ascii="Calibri" w:hAnsi="Calibri" w:eastAsia="宋体" w:cs="Times New Roman"/>
          <w:bCs/>
          <w:sz w:val="18"/>
          <w:szCs w:val="20"/>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18"/>
          <w:szCs w:val="20"/>
          <w:shd w:val="clear" w:color="auto" w:fill="FFFFFF"/>
        </w:rPr>
        <w:t>（国卫法制发〔2013〕50号）</w:t>
      </w:r>
      <w:r>
        <w:rPr>
          <w:rFonts w:hint="eastAsia" w:ascii="Calibri" w:hAnsi="Calibri" w:eastAsia="宋体" w:cs="Times New Roman"/>
          <w:bCs/>
          <w:sz w:val="18"/>
          <w:szCs w:val="20"/>
          <w:shd w:val="clear" w:color="auto" w:fill="FFFFFF"/>
        </w:rPr>
        <w:t>及《关于印发医疗机构工作人员廉洁从业九项准则的通知》（国卫医发〔2021〕37号）</w:t>
      </w:r>
      <w:r>
        <w:rPr>
          <w:rFonts w:ascii="Calibri" w:hAnsi="Calibri" w:eastAsia="宋体" w:cs="Times New Roman"/>
          <w:bCs/>
          <w:sz w:val="18"/>
          <w:szCs w:val="20"/>
        </w:rPr>
        <w:t>相关规定处理。</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八、本合同作为购销合同的重要组成部分，与购销合同一并执行，具有同等的法律效力。</w:t>
      </w:r>
    </w:p>
    <w:p>
      <w:pPr>
        <w:spacing w:line="440" w:lineRule="exact"/>
        <w:ind w:firstLine="360" w:firstLineChars="200"/>
        <w:rPr>
          <w:rFonts w:ascii="Calibri" w:hAnsi="Calibri" w:eastAsia="宋体" w:cs="Times New Roman"/>
          <w:bCs/>
          <w:sz w:val="18"/>
          <w:szCs w:val="20"/>
        </w:rPr>
      </w:pPr>
      <w:r>
        <w:rPr>
          <w:rFonts w:ascii="Calibri" w:hAnsi="Calibri" w:eastAsia="宋体" w:cs="Times New Roman"/>
          <w:bCs/>
          <w:sz w:val="18"/>
          <w:szCs w:val="20"/>
        </w:rPr>
        <w:t>九、本合同一式三份，甲、乙双方各执一份，甲方纪检监察部门执一份，并从签订之日起生效。</w:t>
      </w:r>
    </w:p>
    <w:p>
      <w:pPr>
        <w:spacing w:line="440" w:lineRule="exact"/>
        <w:rPr>
          <w:rFonts w:ascii="Calibri" w:hAnsi="Calibri" w:eastAsia="宋体" w:cs="Times New Roman"/>
          <w:bCs/>
          <w:sz w:val="18"/>
          <w:szCs w:val="20"/>
        </w:rPr>
      </w:pP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甲方（盖章）：                     </w:t>
      </w:r>
      <w:r>
        <w:rPr>
          <w:rFonts w:hint="eastAsia" w:ascii="Calibri" w:hAnsi="Calibri" w:eastAsia="宋体" w:cs="Times New Roman"/>
          <w:bCs/>
          <w:sz w:val="18"/>
          <w:szCs w:val="20"/>
        </w:rPr>
        <w:t xml:space="preserve">       </w:t>
      </w:r>
      <w:r>
        <w:rPr>
          <w:rFonts w:ascii="Calibri" w:hAnsi="Calibri" w:eastAsia="宋体" w:cs="Times New Roman"/>
          <w:bCs/>
          <w:sz w:val="18"/>
          <w:szCs w:val="20"/>
        </w:rPr>
        <w:t>乙方（盖章）：</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法定代表人（负责人）：             </w:t>
      </w:r>
      <w:r>
        <w:rPr>
          <w:rFonts w:hint="eastAsia" w:ascii="Calibri" w:hAnsi="Calibri" w:eastAsia="宋体" w:cs="Times New Roman"/>
          <w:bCs/>
          <w:sz w:val="18"/>
          <w:szCs w:val="20"/>
        </w:rPr>
        <w:t xml:space="preserve">       </w:t>
      </w:r>
      <w:r>
        <w:rPr>
          <w:rFonts w:ascii="Calibri" w:hAnsi="Calibri" w:eastAsia="宋体" w:cs="Times New Roman"/>
          <w:bCs/>
          <w:sz w:val="18"/>
          <w:szCs w:val="20"/>
        </w:rPr>
        <w:t>法定代表人（负责人）：</w:t>
      </w:r>
    </w:p>
    <w:p>
      <w:pPr>
        <w:spacing w:line="440" w:lineRule="exact"/>
        <w:rPr>
          <w:rFonts w:ascii="Calibri" w:hAnsi="Calibri" w:eastAsia="宋体" w:cs="Times New Roman"/>
          <w:bCs/>
          <w:sz w:val="18"/>
          <w:szCs w:val="20"/>
        </w:rPr>
      </w:pPr>
      <w:r>
        <w:rPr>
          <w:rFonts w:ascii="Calibri" w:hAnsi="Calibri" w:eastAsia="宋体" w:cs="Times New Roman"/>
          <w:bCs/>
          <w:sz w:val="18"/>
          <w:szCs w:val="20"/>
        </w:rPr>
        <w:t xml:space="preserve">经办人签名：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经办人签名：</w:t>
      </w:r>
    </w:p>
    <w:p>
      <w:pPr>
        <w:spacing w:line="440" w:lineRule="exact"/>
        <w:ind w:firstLine="450" w:firstLineChars="250"/>
        <w:rPr>
          <w:rFonts w:ascii="Calibri" w:hAnsi="Calibri" w:eastAsia="宋体" w:cs="Times New Roman"/>
          <w:sz w:val="18"/>
          <w:szCs w:val="24"/>
        </w:rPr>
      </w:pPr>
      <w:r>
        <w:rPr>
          <w:rFonts w:ascii="Calibri" w:hAnsi="Calibri" w:eastAsia="宋体" w:cs="Times New Roman"/>
          <w:bCs/>
          <w:sz w:val="18"/>
          <w:szCs w:val="20"/>
        </w:rPr>
        <w:t xml:space="preserve">年   月   日                      </w:t>
      </w:r>
      <w:r>
        <w:rPr>
          <w:rFonts w:hint="eastAsia" w:ascii="Calibri" w:hAnsi="Calibri" w:eastAsia="宋体" w:cs="Times New Roman"/>
          <w:bCs/>
          <w:sz w:val="18"/>
          <w:szCs w:val="20"/>
        </w:rPr>
        <w:t xml:space="preserve">       </w:t>
      </w:r>
      <w:r>
        <w:rPr>
          <w:rFonts w:ascii="Calibri" w:hAnsi="Calibri" w:eastAsia="宋体" w:cs="Times New Roman"/>
          <w:bCs/>
          <w:sz w:val="18"/>
          <w:szCs w:val="20"/>
        </w:rPr>
        <w:t xml:space="preserve"> 年   月  日</w:t>
      </w:r>
    </w:p>
    <w:p>
      <w:pPr>
        <w:numPr>
          <w:ilvl w:val="0"/>
          <w:numId w:val="0"/>
        </w:numPr>
        <w:jc w:val="left"/>
        <w:rPr>
          <w:rFonts w:hint="default"/>
          <w:b/>
          <w:bCs/>
          <w:sz w:val="24"/>
          <w:lang w:val="en-US" w:eastAsia="zh-CN"/>
        </w:rPr>
      </w:pPr>
    </w:p>
    <w:sectPr>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
    <w:nsid w:val="B5E306ED"/>
    <w:multiLevelType w:val="multilevel"/>
    <w:tmpl w:val="B5E306ED"/>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2">
    <w:nsid w:val="BF205925"/>
    <w:multiLevelType w:val="multilevel"/>
    <w:tmpl w:val="BF205925"/>
    <w:lvl w:ilvl="0" w:tentative="0">
      <w:start w:val="1"/>
      <w:numFmt w:val="decimal"/>
      <w:lvlText w:val="（%1）"/>
      <w:lvlJc w:val="left"/>
      <w:pPr>
        <w:ind w:left="796" w:hanging="446"/>
      </w:pPr>
      <w:rPr>
        <w:rFonts w:hint="default" w:ascii="宋体" w:hAnsi="宋体" w:eastAsia="宋体" w:cs="宋体"/>
        <w:spacing w:val="-13"/>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5">
    <w:nsid w:val="0248C179"/>
    <w:multiLevelType w:val="multilevel"/>
    <w:tmpl w:val="0248C17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6">
    <w:nsid w:val="03D62ECE"/>
    <w:multiLevelType w:val="multilevel"/>
    <w:tmpl w:val="03D62ECE"/>
    <w:lvl w:ilvl="0" w:tentative="0">
      <w:start w:val="1"/>
      <w:numFmt w:val="decimal"/>
      <w:lvlText w:val="（%1）"/>
      <w:lvlJc w:val="left"/>
      <w:pPr>
        <w:ind w:left="796" w:hanging="446"/>
      </w:pPr>
      <w:rPr>
        <w:rFonts w:hint="default" w:ascii="宋体" w:hAnsi="宋体" w:eastAsia="宋体" w:cs="宋体"/>
        <w:w w:val="98"/>
        <w:sz w:val="15"/>
        <w:szCs w:val="15"/>
        <w:lang w:val="zh-CN" w:eastAsia="zh-CN" w:bidi="zh-CN"/>
      </w:rPr>
    </w:lvl>
    <w:lvl w:ilvl="1" w:tentative="0">
      <w:start w:val="0"/>
      <w:numFmt w:val="bullet"/>
      <w:lvlText w:val="•"/>
      <w:lvlJc w:val="left"/>
      <w:pPr>
        <w:ind w:left="1774" w:hanging="446"/>
      </w:pPr>
      <w:rPr>
        <w:rFonts w:hint="default"/>
        <w:lang w:val="zh-CN" w:eastAsia="zh-CN" w:bidi="zh-CN"/>
      </w:rPr>
    </w:lvl>
    <w:lvl w:ilvl="2" w:tentative="0">
      <w:start w:val="0"/>
      <w:numFmt w:val="bullet"/>
      <w:lvlText w:val="•"/>
      <w:lvlJc w:val="left"/>
      <w:pPr>
        <w:ind w:left="2748" w:hanging="446"/>
      </w:pPr>
      <w:rPr>
        <w:rFonts w:hint="default"/>
        <w:lang w:val="zh-CN" w:eastAsia="zh-CN" w:bidi="zh-CN"/>
      </w:rPr>
    </w:lvl>
    <w:lvl w:ilvl="3" w:tentative="0">
      <w:start w:val="0"/>
      <w:numFmt w:val="bullet"/>
      <w:lvlText w:val="•"/>
      <w:lvlJc w:val="left"/>
      <w:pPr>
        <w:ind w:left="3722" w:hanging="446"/>
      </w:pPr>
      <w:rPr>
        <w:rFonts w:hint="default"/>
        <w:lang w:val="zh-CN" w:eastAsia="zh-CN" w:bidi="zh-CN"/>
      </w:rPr>
    </w:lvl>
    <w:lvl w:ilvl="4" w:tentative="0">
      <w:start w:val="0"/>
      <w:numFmt w:val="bullet"/>
      <w:lvlText w:val="•"/>
      <w:lvlJc w:val="left"/>
      <w:pPr>
        <w:ind w:left="4696" w:hanging="446"/>
      </w:pPr>
      <w:rPr>
        <w:rFonts w:hint="default"/>
        <w:lang w:val="zh-CN" w:eastAsia="zh-CN" w:bidi="zh-CN"/>
      </w:rPr>
    </w:lvl>
    <w:lvl w:ilvl="5" w:tentative="0">
      <w:start w:val="0"/>
      <w:numFmt w:val="bullet"/>
      <w:lvlText w:val="•"/>
      <w:lvlJc w:val="left"/>
      <w:pPr>
        <w:ind w:left="5670" w:hanging="446"/>
      </w:pPr>
      <w:rPr>
        <w:rFonts w:hint="default"/>
        <w:lang w:val="zh-CN" w:eastAsia="zh-CN" w:bidi="zh-CN"/>
      </w:rPr>
    </w:lvl>
    <w:lvl w:ilvl="6" w:tentative="0">
      <w:start w:val="0"/>
      <w:numFmt w:val="bullet"/>
      <w:lvlText w:val="•"/>
      <w:lvlJc w:val="left"/>
      <w:pPr>
        <w:ind w:left="6644" w:hanging="446"/>
      </w:pPr>
      <w:rPr>
        <w:rFonts w:hint="default"/>
        <w:lang w:val="zh-CN" w:eastAsia="zh-CN" w:bidi="zh-CN"/>
      </w:rPr>
    </w:lvl>
    <w:lvl w:ilvl="7" w:tentative="0">
      <w:start w:val="0"/>
      <w:numFmt w:val="bullet"/>
      <w:lvlText w:val="•"/>
      <w:lvlJc w:val="left"/>
      <w:pPr>
        <w:ind w:left="7618" w:hanging="446"/>
      </w:pPr>
      <w:rPr>
        <w:rFonts w:hint="default"/>
        <w:lang w:val="zh-CN" w:eastAsia="zh-CN" w:bidi="zh-CN"/>
      </w:rPr>
    </w:lvl>
    <w:lvl w:ilvl="8" w:tentative="0">
      <w:start w:val="0"/>
      <w:numFmt w:val="bullet"/>
      <w:lvlText w:val="•"/>
      <w:lvlJc w:val="left"/>
      <w:pPr>
        <w:ind w:left="8592" w:hanging="446"/>
      </w:pPr>
      <w:rPr>
        <w:rFonts w:hint="default"/>
        <w:lang w:val="zh-CN" w:eastAsia="zh-CN" w:bidi="zh-CN"/>
      </w:rPr>
    </w:lvl>
  </w:abstractNum>
  <w:abstractNum w:abstractNumId="7">
    <w:nsid w:val="0EF21C84"/>
    <w:multiLevelType w:val="multilevel"/>
    <w:tmpl w:val="0EF21C84"/>
    <w:lvl w:ilvl="0" w:tentative="0">
      <w:start w:val="1"/>
      <w:numFmt w:val="japaneseCounting"/>
      <w:lvlText w:val="%1、"/>
      <w:lvlJc w:val="left"/>
      <w:pPr>
        <w:ind w:left="525" w:hanging="420"/>
      </w:pPr>
      <w:rPr>
        <w:rFonts w:hint="default"/>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8">
    <w:nsid w:val="11BBAE1D"/>
    <w:multiLevelType w:val="singleLevel"/>
    <w:tmpl w:val="11BBAE1D"/>
    <w:lvl w:ilvl="0" w:tentative="0">
      <w:start w:val="1"/>
      <w:numFmt w:val="chineseCounting"/>
      <w:suff w:val="nothing"/>
      <w:lvlText w:val="%1、"/>
      <w:lvlJc w:val="left"/>
      <w:rPr>
        <w:rFonts w:hint="eastAsia"/>
      </w:rPr>
    </w:lvl>
  </w:abstractNum>
  <w:abstractNum w:abstractNumId="9">
    <w:nsid w:val="1CFCF95C"/>
    <w:multiLevelType w:val="singleLevel"/>
    <w:tmpl w:val="1CFCF95C"/>
    <w:lvl w:ilvl="0" w:tentative="0">
      <w:start w:val="3"/>
      <w:numFmt w:val="decimal"/>
      <w:suff w:val="nothing"/>
      <w:lvlText w:val="%1、"/>
      <w:lvlJc w:val="left"/>
    </w:lvl>
  </w:abstractNum>
  <w:abstractNum w:abstractNumId="10">
    <w:nsid w:val="25B654F3"/>
    <w:multiLevelType w:val="multilevel"/>
    <w:tmpl w:val="25B654F3"/>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1">
    <w:nsid w:val="2A8F537B"/>
    <w:multiLevelType w:val="multilevel"/>
    <w:tmpl w:val="2A8F537B"/>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abstractNum w:abstractNumId="13">
    <w:nsid w:val="72183CF9"/>
    <w:multiLevelType w:val="multilevel"/>
    <w:tmpl w:val="72183CF9"/>
    <w:lvl w:ilvl="0" w:tentative="0">
      <w:start w:val="1"/>
      <w:numFmt w:val="decimal"/>
      <w:lvlText w:val="%1."/>
      <w:lvlJc w:val="left"/>
      <w:pPr>
        <w:ind w:left="521" w:hanging="171"/>
      </w:pPr>
      <w:rPr>
        <w:rFonts w:hint="default" w:ascii="Verdana" w:hAnsi="Verdana" w:eastAsia="Verdana" w:cs="Verdana"/>
        <w:spacing w:val="-2"/>
        <w:w w:val="98"/>
        <w:sz w:val="15"/>
        <w:szCs w:val="15"/>
        <w:lang w:val="zh-CN" w:eastAsia="zh-CN" w:bidi="zh-CN"/>
      </w:rPr>
    </w:lvl>
    <w:lvl w:ilvl="1" w:tentative="0">
      <w:start w:val="0"/>
      <w:numFmt w:val="bullet"/>
      <w:lvlText w:val="•"/>
      <w:lvlJc w:val="left"/>
      <w:pPr>
        <w:ind w:left="1522" w:hanging="171"/>
      </w:pPr>
      <w:rPr>
        <w:rFonts w:hint="default"/>
        <w:lang w:val="zh-CN" w:eastAsia="zh-CN" w:bidi="zh-CN"/>
      </w:rPr>
    </w:lvl>
    <w:lvl w:ilvl="2" w:tentative="0">
      <w:start w:val="0"/>
      <w:numFmt w:val="bullet"/>
      <w:lvlText w:val="•"/>
      <w:lvlJc w:val="left"/>
      <w:pPr>
        <w:ind w:left="2524" w:hanging="171"/>
      </w:pPr>
      <w:rPr>
        <w:rFonts w:hint="default"/>
        <w:lang w:val="zh-CN" w:eastAsia="zh-CN" w:bidi="zh-CN"/>
      </w:rPr>
    </w:lvl>
    <w:lvl w:ilvl="3" w:tentative="0">
      <w:start w:val="0"/>
      <w:numFmt w:val="bullet"/>
      <w:lvlText w:val="•"/>
      <w:lvlJc w:val="left"/>
      <w:pPr>
        <w:ind w:left="3526" w:hanging="171"/>
      </w:pPr>
      <w:rPr>
        <w:rFonts w:hint="default"/>
        <w:lang w:val="zh-CN" w:eastAsia="zh-CN" w:bidi="zh-CN"/>
      </w:rPr>
    </w:lvl>
    <w:lvl w:ilvl="4" w:tentative="0">
      <w:start w:val="0"/>
      <w:numFmt w:val="bullet"/>
      <w:lvlText w:val="•"/>
      <w:lvlJc w:val="left"/>
      <w:pPr>
        <w:ind w:left="4528" w:hanging="171"/>
      </w:pPr>
      <w:rPr>
        <w:rFonts w:hint="default"/>
        <w:lang w:val="zh-CN" w:eastAsia="zh-CN" w:bidi="zh-CN"/>
      </w:rPr>
    </w:lvl>
    <w:lvl w:ilvl="5" w:tentative="0">
      <w:start w:val="0"/>
      <w:numFmt w:val="bullet"/>
      <w:lvlText w:val="•"/>
      <w:lvlJc w:val="left"/>
      <w:pPr>
        <w:ind w:left="5530" w:hanging="171"/>
      </w:pPr>
      <w:rPr>
        <w:rFonts w:hint="default"/>
        <w:lang w:val="zh-CN" w:eastAsia="zh-CN" w:bidi="zh-CN"/>
      </w:rPr>
    </w:lvl>
    <w:lvl w:ilvl="6" w:tentative="0">
      <w:start w:val="0"/>
      <w:numFmt w:val="bullet"/>
      <w:lvlText w:val="•"/>
      <w:lvlJc w:val="left"/>
      <w:pPr>
        <w:ind w:left="6532" w:hanging="171"/>
      </w:pPr>
      <w:rPr>
        <w:rFonts w:hint="default"/>
        <w:lang w:val="zh-CN" w:eastAsia="zh-CN" w:bidi="zh-CN"/>
      </w:rPr>
    </w:lvl>
    <w:lvl w:ilvl="7" w:tentative="0">
      <w:start w:val="0"/>
      <w:numFmt w:val="bullet"/>
      <w:lvlText w:val="•"/>
      <w:lvlJc w:val="left"/>
      <w:pPr>
        <w:ind w:left="7534" w:hanging="171"/>
      </w:pPr>
      <w:rPr>
        <w:rFonts w:hint="default"/>
        <w:lang w:val="zh-CN" w:eastAsia="zh-CN" w:bidi="zh-CN"/>
      </w:rPr>
    </w:lvl>
    <w:lvl w:ilvl="8" w:tentative="0">
      <w:start w:val="0"/>
      <w:numFmt w:val="bullet"/>
      <w:lvlText w:val="•"/>
      <w:lvlJc w:val="left"/>
      <w:pPr>
        <w:ind w:left="8536" w:hanging="171"/>
      </w:pPr>
      <w:rPr>
        <w:rFonts w:hint="default"/>
        <w:lang w:val="zh-CN" w:eastAsia="zh-CN" w:bidi="zh-CN"/>
      </w:rPr>
    </w:lvl>
  </w:abstractNum>
  <w:num w:numId="1">
    <w:abstractNumId w:val="8"/>
  </w:num>
  <w:num w:numId="2">
    <w:abstractNumId w:val="9"/>
  </w:num>
  <w:num w:numId="3">
    <w:abstractNumId w:val="7"/>
  </w:num>
  <w:num w:numId="4">
    <w:abstractNumId w:val="4"/>
  </w:num>
  <w:num w:numId="5">
    <w:abstractNumId w:val="3"/>
  </w:num>
  <w:num w:numId="6">
    <w:abstractNumId w:val="12"/>
  </w:num>
  <w:num w:numId="7">
    <w:abstractNumId w:val="2"/>
  </w:num>
  <w:num w:numId="8">
    <w:abstractNumId w:val="1"/>
  </w:num>
  <w:num w:numId="9">
    <w:abstractNumId w:val="6"/>
  </w:num>
  <w:num w:numId="10">
    <w:abstractNumId w:val="10"/>
  </w:num>
  <w:num w:numId="11">
    <w:abstractNumId w:val="13"/>
  </w:num>
  <w:num w:numId="12">
    <w:abstractNumId w:val="5"/>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2B15ED7"/>
    <w:rsid w:val="032B7EBE"/>
    <w:rsid w:val="037819C8"/>
    <w:rsid w:val="04165086"/>
    <w:rsid w:val="079468F0"/>
    <w:rsid w:val="0A277157"/>
    <w:rsid w:val="0A323667"/>
    <w:rsid w:val="0B691EBF"/>
    <w:rsid w:val="0D6B27A0"/>
    <w:rsid w:val="0D737863"/>
    <w:rsid w:val="10827943"/>
    <w:rsid w:val="11D15B1C"/>
    <w:rsid w:val="11D56F8A"/>
    <w:rsid w:val="12C9410A"/>
    <w:rsid w:val="14C02644"/>
    <w:rsid w:val="157B401A"/>
    <w:rsid w:val="17453125"/>
    <w:rsid w:val="184F31D7"/>
    <w:rsid w:val="1A2E6DE6"/>
    <w:rsid w:val="1D4821A9"/>
    <w:rsid w:val="202B56B1"/>
    <w:rsid w:val="22723315"/>
    <w:rsid w:val="22CF7097"/>
    <w:rsid w:val="232E51F6"/>
    <w:rsid w:val="23884864"/>
    <w:rsid w:val="27E45486"/>
    <w:rsid w:val="2BA52826"/>
    <w:rsid w:val="2D7F5632"/>
    <w:rsid w:val="2EB05F76"/>
    <w:rsid w:val="2FBD42B3"/>
    <w:rsid w:val="30D412A1"/>
    <w:rsid w:val="316641F0"/>
    <w:rsid w:val="31F8416E"/>
    <w:rsid w:val="32CE7A3F"/>
    <w:rsid w:val="33951D5C"/>
    <w:rsid w:val="33D47EE3"/>
    <w:rsid w:val="34117E05"/>
    <w:rsid w:val="351B0D6F"/>
    <w:rsid w:val="37C66C9B"/>
    <w:rsid w:val="3BB420F5"/>
    <w:rsid w:val="3DB75172"/>
    <w:rsid w:val="3F1B3C4A"/>
    <w:rsid w:val="3F4E059D"/>
    <w:rsid w:val="402E62DF"/>
    <w:rsid w:val="405108FA"/>
    <w:rsid w:val="4136403A"/>
    <w:rsid w:val="41EF774F"/>
    <w:rsid w:val="42660058"/>
    <w:rsid w:val="43824C1A"/>
    <w:rsid w:val="449E2D2B"/>
    <w:rsid w:val="46094A05"/>
    <w:rsid w:val="460A3EB2"/>
    <w:rsid w:val="477517FF"/>
    <w:rsid w:val="479F5F87"/>
    <w:rsid w:val="497E50E4"/>
    <w:rsid w:val="4A254910"/>
    <w:rsid w:val="4B956476"/>
    <w:rsid w:val="4D3D3121"/>
    <w:rsid w:val="4DCB17F7"/>
    <w:rsid w:val="534B0A6F"/>
    <w:rsid w:val="53CA557A"/>
    <w:rsid w:val="547D6E0D"/>
    <w:rsid w:val="584110E8"/>
    <w:rsid w:val="587C329C"/>
    <w:rsid w:val="595B205E"/>
    <w:rsid w:val="5DEC7787"/>
    <w:rsid w:val="5DFE7766"/>
    <w:rsid w:val="60F93F09"/>
    <w:rsid w:val="683E0693"/>
    <w:rsid w:val="698F00A6"/>
    <w:rsid w:val="6A800692"/>
    <w:rsid w:val="6BF3478F"/>
    <w:rsid w:val="6DE10695"/>
    <w:rsid w:val="6E6658CD"/>
    <w:rsid w:val="6F1A55B9"/>
    <w:rsid w:val="711B411C"/>
    <w:rsid w:val="71FC5B71"/>
    <w:rsid w:val="7392213F"/>
    <w:rsid w:val="739F5CC0"/>
    <w:rsid w:val="748F3673"/>
    <w:rsid w:val="772F4719"/>
    <w:rsid w:val="773504DF"/>
    <w:rsid w:val="7A192AA7"/>
    <w:rsid w:val="7B395E66"/>
    <w:rsid w:val="7C4831AB"/>
    <w:rsid w:val="7E47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17"/>
      <w:szCs w:val="17"/>
      <w:lang w:val="zh-CN" w:bidi="zh-CN"/>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Emphasis"/>
    <w:qFormat/>
    <w:uiPriority w:val="20"/>
    <w:rPr>
      <w:i/>
      <w:iCs/>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paragraph" w:customStyle="1" w:styleId="15">
    <w:name w:val="Table Paragraph"/>
    <w:basedOn w:val="1"/>
    <w:qFormat/>
    <w:uiPriority w:val="1"/>
    <w:pPr>
      <w:autoSpaceDE w:val="0"/>
      <w:autoSpaceDN w:val="0"/>
      <w:jc w:val="left"/>
    </w:pPr>
    <w:rPr>
      <w:rFonts w:ascii="宋体" w:hAnsi="宋体" w:eastAsia="宋体" w:cs="宋体"/>
      <w:kern w:val="0"/>
      <w:sz w:val="22"/>
      <w:lang w:val="zh-CN" w:bidi="zh-CN"/>
    </w:rPr>
  </w:style>
  <w:style w:type="paragraph" w:styleId="16">
    <w:name w:val="List Paragraph"/>
    <w:basedOn w:val="1"/>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17">
    <w:name w:val="NormalCharacter"/>
    <w:semiHidden/>
    <w:qFormat/>
    <w:uiPriority w:val="0"/>
  </w:style>
  <w:style w:type="character" w:customStyle="1" w:styleId="18">
    <w:name w:val="font3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character" w:customStyle="1" w:styleId="20">
    <w:name w:val="font41"/>
    <w:basedOn w:val="10"/>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13</Pages>
  <Words>9413</Words>
  <Characters>9916</Characters>
  <Lines>6</Lines>
  <Paragraphs>1</Paragraphs>
  <TotalTime>0</TotalTime>
  <ScaleCrop>false</ScaleCrop>
  <LinksUpToDate>false</LinksUpToDate>
  <CharactersWithSpaces>10488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2022-05-03T08:15:13Z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2052-11.1.0.11636</vt:lpwstr>
  </property>
  <property fmtid="{D5CDD505-2E9C-101B-9397-08002B2CF9AE}" pid="4" name="ICV">
    <vt:lpwstr>99012001CC8449E1B44B4987A03F7E88</vt:lpwstr>
  </property>
</Properties>
</file>