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eastAsia" w:asciiTheme="minorEastAsia" w:hAnsiTheme="minorEastAsia" w:eastAsiaTheme="minorEastAsia" w:cstheme="minorEastAsia"/>
          <w:b/>
          <w:bCs/>
          <w:sz w:val="32"/>
          <w:szCs w:val="32"/>
          <w:lang w:val="en-US" w:eastAsia="zh-CN"/>
        </w:rPr>
      </w:pPr>
      <w:r>
        <w:rPr>
          <w:rStyle w:val="11"/>
          <w:rFonts w:hint="eastAsia" w:asciiTheme="minorEastAsia" w:hAnsiTheme="minorEastAsia" w:eastAsiaTheme="minorEastAsia" w:cstheme="minorEastAsia"/>
          <w:b/>
          <w:bCs/>
          <w:sz w:val="36"/>
          <w:szCs w:val="36"/>
          <w:lang w:val="en-US" w:eastAsia="zh-CN"/>
        </w:rPr>
        <w:t>温州市中医院关于吞咽治疗仪项目的招标</w:t>
      </w:r>
    </w:p>
    <w:p>
      <w:pPr>
        <w:numPr>
          <w:ilvl w:val="0"/>
          <w:numId w:val="1"/>
        </w:numPr>
        <w:jc w:val="both"/>
        <w:rPr>
          <w:rStyle w:val="11"/>
          <w:rFonts w:hint="eastAsia" w:asciiTheme="minorEastAsia" w:hAnsiTheme="minorEastAsia" w:eastAsiaTheme="minorEastAsia" w:cstheme="minorEastAsia"/>
          <w:b/>
          <w:bCs/>
          <w:sz w:val="32"/>
          <w:szCs w:val="32"/>
        </w:rPr>
      </w:pPr>
      <w:r>
        <w:rPr>
          <w:rStyle w:val="11"/>
          <w:rFonts w:hint="eastAsia" w:asciiTheme="minorEastAsia" w:hAnsiTheme="minorEastAsia" w:eastAsiaTheme="minorEastAsia" w:cstheme="minorEastAsia"/>
          <w:b/>
          <w:bCs/>
          <w:sz w:val="32"/>
          <w:szCs w:val="32"/>
        </w:rPr>
        <w:t>项目基本情况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sz w:val="24"/>
                <w:szCs w:val="24"/>
                <w:vertAlign w:val="baseline"/>
                <w:lang w:val="en-US" w:eastAsia="zh-CN"/>
              </w:rPr>
              <w:t>2022-sb-cg-00</w:t>
            </w:r>
            <w:r>
              <w:rPr>
                <w:rFonts w:hint="eastAsia" w:asciiTheme="minorEastAsia" w:hAnsiTheme="minorEastAsia" w:cstheme="minorEastAsia"/>
                <w:sz w:val="24"/>
                <w:szCs w:val="24"/>
                <w:vertAlign w:val="baseline"/>
                <w:lang w:val="en-US" w:eastAsia="zh-CN"/>
              </w:rPr>
              <w:t>7</w:t>
            </w:r>
          </w:p>
        </w:tc>
        <w:tc>
          <w:tcPr>
            <w:tcW w:w="5183" w:type="dxa"/>
          </w:tcPr>
          <w:p>
            <w:pPr>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cstheme="minorEastAsia"/>
                <w:sz w:val="24"/>
                <w:szCs w:val="24"/>
                <w:vertAlign w:val="baseline"/>
                <w:lang w:val="en-US" w:eastAsia="zh-CN"/>
              </w:rPr>
              <w:t>吞咽治疗仪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数量：2台</w:t>
            </w:r>
          </w:p>
        </w:tc>
        <w:tc>
          <w:tcPr>
            <w:tcW w:w="5183" w:type="dxa"/>
          </w:tcPr>
          <w:p>
            <w:p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cstheme="minorEastAsia"/>
                <w:b w:val="0"/>
                <w:bCs w:val="0"/>
                <w:sz w:val="24"/>
                <w:szCs w:val="24"/>
                <w:lang w:val="en-US" w:eastAsia="zh-CN"/>
              </w:rPr>
              <w:t>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rPr>
              <w:t>金额（元）:</w:t>
            </w:r>
            <w:r>
              <w:rPr>
                <w:rFonts w:hint="eastAsia" w:asciiTheme="minorEastAsia" w:hAnsiTheme="minorEastAsia" w:cstheme="minorEastAsia"/>
                <w:b w:val="0"/>
                <w:bCs w:val="0"/>
                <w:sz w:val="24"/>
                <w:szCs w:val="24"/>
                <w:lang w:val="en-US" w:eastAsia="zh-CN"/>
              </w:rPr>
              <w:t>6万</w:t>
            </w:r>
          </w:p>
        </w:tc>
        <w:tc>
          <w:tcPr>
            <w:tcW w:w="5183" w:type="dxa"/>
          </w:tcPr>
          <w:p>
            <w:pPr>
              <w:jc w:val="both"/>
              <w:rPr>
                <w:rFonts w:hint="eastAsia" w:asciiTheme="minorEastAsia" w:hAnsiTheme="minorEastAsia" w:eastAsiaTheme="minorEastAsia" w:cstheme="minorEastAsia"/>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Fonts w:hint="eastAsia" w:ascii="宋体" w:hAnsi="宋体"/>
                <w:sz w:val="24"/>
                <w:szCs w:val="24"/>
              </w:rPr>
              <w:t>用于咽部非机械原因损伤引起的吞咽障碍理疗。用于肌肉重新训练和对喉部肌肉进行功能性刺激，从而实现咽部肌肉正常收缩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1"/>
          <w:rFonts w:hint="eastAsia" w:asciiTheme="minorEastAsia" w:hAnsiTheme="minorEastAsia" w:eastAsiaTheme="minorEastAsia" w:cstheme="minorEastAsia"/>
          <w:b/>
          <w:bCs/>
          <w:sz w:val="32"/>
          <w:szCs w:val="32"/>
          <w:lang w:val="en-US" w:eastAsia="zh-CN"/>
        </w:rPr>
      </w:pPr>
      <w:r>
        <w:rPr>
          <w:rStyle w:val="11"/>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获取招标文件</w:t>
      </w:r>
    </w:p>
    <w:p>
      <w:pPr>
        <w:pStyle w:val="6"/>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日下午14：00（北京时间）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w:t>
      </w:r>
      <w:bookmarkStart w:id="0" w:name="_GoBack"/>
      <w:bookmarkEnd w:id="0"/>
      <w:r>
        <w:rPr>
          <w:rFonts w:hint="eastAsia" w:asciiTheme="minorEastAsia" w:hAnsiTheme="minorEastAsia" w:eastAsiaTheme="minorEastAsia" w:cstheme="minorEastAsia"/>
          <w:kern w:val="2"/>
          <w:sz w:val="24"/>
          <w:szCs w:val="24"/>
          <w:lang w:val="en-US" w:eastAsia="zh-CN" w:bidi="ar-SA"/>
        </w:rPr>
        <w:t>4：10（北京时间）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公告期限 </w:t>
      </w:r>
    </w:p>
    <w:p>
      <w:pPr>
        <w:pStyle w:val="6"/>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1"/>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商务、技术参数偏离表</w:t>
      </w:r>
    </w:p>
    <w:p>
      <w:pPr>
        <w:snapToGrid w:val="0"/>
        <w:spacing w:line="360" w:lineRule="auto"/>
        <w:jc w:val="left"/>
        <w:rPr>
          <w:rFonts w:hint="eastAsia" w:asciiTheme="minorEastAsia" w:hAnsiTheme="minorEastAsia" w:eastAsiaTheme="minorEastAsia" w:cstheme="minorEastAsia"/>
          <w:sz w:val="24"/>
          <w:szCs w:val="24"/>
        </w:rPr>
      </w:pPr>
    </w:p>
    <w:tbl>
      <w:tblPr>
        <w:tblStyle w:val="9"/>
        <w:tblpPr w:leftFromText="180" w:rightFromText="180" w:vertAnchor="page" w:horzAnchor="page" w:tblpXSpec="center" w:tblpY="657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6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0" w:type="auto"/>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一</w:t>
            </w:r>
          </w:p>
        </w:tc>
        <w:tc>
          <w:tcPr>
            <w:tcW w:w="0" w:type="auto"/>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宋体" w:hAnsi="宋体"/>
                <w:b/>
                <w:sz w:val="24"/>
                <w:szCs w:val="24"/>
              </w:rPr>
              <w:t>总体要求</w:t>
            </w:r>
          </w:p>
        </w:tc>
        <w:tc>
          <w:tcPr>
            <w:tcW w:w="0" w:type="auto"/>
            <w:vAlign w:val="top"/>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center"/>
          </w:tcPr>
          <w:p>
            <w:pPr>
              <w:rPr>
                <w:rFonts w:hint="eastAsia" w:asciiTheme="minorEastAsia" w:hAnsiTheme="minorEastAsia" w:eastAsiaTheme="minorEastAsia" w:cstheme="minorEastAsia"/>
                <w:color w:val="auto"/>
                <w:sz w:val="24"/>
                <w:szCs w:val="24"/>
                <w:lang w:val="en-US" w:eastAsia="zh-CN"/>
              </w:rPr>
            </w:pPr>
            <w:r>
              <w:rPr>
                <w:rFonts w:hint="eastAsia" w:ascii="宋体" w:hAnsi="宋体"/>
                <w:sz w:val="24"/>
                <w:szCs w:val="24"/>
              </w:rPr>
              <w:t>1.1</w:t>
            </w:r>
          </w:p>
        </w:tc>
        <w:tc>
          <w:tcPr>
            <w:tcW w:w="0" w:type="auto"/>
            <w:vAlign w:val="top"/>
          </w:tcPr>
          <w:p>
            <w:pP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sz w:val="24"/>
                <w:szCs w:val="24"/>
                <w:lang w:val="en-US" w:eastAsia="zh-CN"/>
              </w:rPr>
              <w:t>采购</w:t>
            </w:r>
            <w:r>
              <w:rPr>
                <w:rFonts w:hint="eastAsia" w:asciiTheme="minorEastAsia" w:hAnsiTheme="minorEastAsia" w:cstheme="minorEastAsia"/>
                <w:sz w:val="24"/>
                <w:szCs w:val="24"/>
                <w:vertAlign w:val="baseline"/>
                <w:lang w:val="en-US" w:eastAsia="zh-CN"/>
              </w:rPr>
              <w:t>吞咽治疗</w:t>
            </w:r>
            <w:r>
              <w:rPr>
                <w:rFonts w:hint="eastAsia" w:asciiTheme="minorEastAsia" w:hAnsiTheme="minorEastAsia" w:eastAsiaTheme="minorEastAsia" w:cstheme="minorEastAsia"/>
                <w:b w:val="0"/>
                <w:bCs w:val="0"/>
                <w:sz w:val="24"/>
                <w:szCs w:val="24"/>
                <w:lang w:val="en-US" w:eastAsia="zh-CN"/>
              </w:rPr>
              <w:t>仪</w:t>
            </w:r>
            <w:r>
              <w:rPr>
                <w:rFonts w:hint="eastAsia" w:ascii="宋体" w:hAnsi="宋体"/>
                <w:sz w:val="24"/>
                <w:szCs w:val="24"/>
              </w:rPr>
              <w:t>2台</w:t>
            </w:r>
          </w:p>
        </w:tc>
        <w:tc>
          <w:tcPr>
            <w:tcW w:w="0" w:type="auto"/>
            <w:vAlign w:val="top"/>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1.2</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设备用途：用于咽部非机械原因损伤引起的吞咽障碍理疗。用于肌肉重新训练和对喉部肌肉进行功能性刺激，从而实现咽部肌肉正常收缩。</w:t>
            </w:r>
          </w:p>
        </w:tc>
        <w:tc>
          <w:tcPr>
            <w:tcW w:w="0" w:type="auto"/>
            <w:vAlign w:val="top"/>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二</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主要功能要求与技术参数</w:t>
            </w:r>
          </w:p>
        </w:tc>
        <w:tc>
          <w:tcPr>
            <w:tcW w:w="0" w:type="auto"/>
            <w:vAlign w:val="center"/>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波形：Vitalstim双向方波</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2.2</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脉冲频率：80Hz</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highlight w:val="none"/>
                <w:lang w:val="en-US" w:eastAsia="zh-CN"/>
              </w:rPr>
            </w:pPr>
            <w:r>
              <w:rPr>
                <w:rFonts w:hint="eastAsia" w:ascii="宋体" w:hAnsi="宋体"/>
                <w:sz w:val="24"/>
                <w:szCs w:val="24"/>
              </w:rPr>
              <w:t>2.3</w:t>
            </w:r>
          </w:p>
        </w:tc>
        <w:tc>
          <w:tcPr>
            <w:tcW w:w="0" w:type="auto"/>
            <w:vAlign w:val="top"/>
          </w:tcPr>
          <w:p>
            <w:pPr>
              <w:rPr>
                <w:rFonts w:hint="eastAsia" w:asciiTheme="minorEastAsia" w:hAnsiTheme="minorEastAsia" w:eastAsiaTheme="minorEastAsia" w:cstheme="minorEastAsia"/>
                <w:sz w:val="24"/>
                <w:szCs w:val="24"/>
                <w:highlight w:val="none"/>
              </w:rPr>
            </w:pPr>
            <w:r>
              <w:rPr>
                <w:rFonts w:hint="eastAsia" w:ascii="宋体" w:hAnsi="宋体"/>
                <w:sz w:val="24"/>
                <w:szCs w:val="24"/>
              </w:rPr>
              <w:t>脉冲宽度：300μ</w:t>
            </w:r>
            <w:r>
              <w:rPr>
                <w:rFonts w:ascii="宋体" w:hAnsi="宋体"/>
                <w:sz w:val="24"/>
                <w:szCs w:val="24"/>
              </w:rPr>
              <w:t>s</w:t>
            </w:r>
            <w:r>
              <w:rPr>
                <w:rFonts w:hint="eastAsia" w:ascii="宋体" w:hAnsi="宋体"/>
                <w:sz w:val="24"/>
                <w:szCs w:val="24"/>
              </w:rPr>
              <w:t>ec</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2.4</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脉冲电量：＜8μC</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2.5</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输出保护：单一组成部分故障，每个脉冲＜15μC</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★2.6</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电流输出：</w:t>
            </w:r>
            <w:r>
              <w:rPr>
                <w:rFonts w:ascii="宋体" w:hAnsi="宋体"/>
                <w:sz w:val="24"/>
                <w:szCs w:val="24"/>
              </w:rPr>
              <w:t>双重强度电位计</w:t>
            </w:r>
            <w:r>
              <w:rPr>
                <w:rFonts w:hint="eastAsia" w:ascii="宋体" w:hAnsi="宋体"/>
                <w:sz w:val="24"/>
                <w:szCs w:val="24"/>
              </w:rPr>
              <w:t>，</w:t>
            </w:r>
            <w:r>
              <w:rPr>
                <w:rFonts w:ascii="宋体" w:hAnsi="宋体"/>
                <w:sz w:val="24"/>
                <w:szCs w:val="24"/>
              </w:rPr>
              <w:t>0-25mA峰值电</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2.7</w:t>
            </w:r>
          </w:p>
        </w:tc>
        <w:tc>
          <w:tcPr>
            <w:tcW w:w="0" w:type="auto"/>
            <w:vAlign w:val="top"/>
          </w:tcPr>
          <w:p>
            <w:pPr>
              <w:rPr>
                <w:rFonts w:hint="eastAsia" w:asciiTheme="minorEastAsia" w:hAnsiTheme="minorEastAsia" w:eastAsiaTheme="minorEastAsia" w:cstheme="minorEastAsia"/>
                <w:sz w:val="24"/>
                <w:szCs w:val="24"/>
              </w:rPr>
            </w:pPr>
            <w:r>
              <w:rPr>
                <w:rFonts w:ascii="宋体" w:hAnsi="宋体"/>
                <w:sz w:val="24"/>
                <w:szCs w:val="24"/>
              </w:rPr>
              <w:t>时间单位：工作频率为3.58</w:t>
            </w:r>
            <w:r>
              <w:rPr>
                <w:rFonts w:hint="eastAsia" w:ascii="宋体" w:hAnsi="宋体"/>
                <w:sz w:val="24"/>
                <w:szCs w:val="24"/>
              </w:rPr>
              <w:t xml:space="preserve"> </w:t>
            </w:r>
            <w:r>
              <w:rPr>
                <w:rFonts w:ascii="宋体" w:hAnsi="宋体"/>
                <w:sz w:val="24"/>
                <w:szCs w:val="24"/>
              </w:rPr>
              <w:t>MHz晶振控制</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2.8</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电源：</w:t>
            </w:r>
            <w:r>
              <w:rPr>
                <w:rFonts w:ascii="宋体" w:hAnsi="宋体"/>
                <w:sz w:val="24"/>
                <w:szCs w:val="24"/>
              </w:rPr>
              <w:t>两节AA（1.5V）碱性电池</w:t>
            </w:r>
            <w:r>
              <w:rPr>
                <w:rFonts w:hint="eastAsia" w:ascii="宋体" w:hAnsi="宋体"/>
                <w:sz w:val="24"/>
                <w:szCs w:val="24"/>
              </w:rPr>
              <w:t>供电</w:t>
            </w:r>
          </w:p>
        </w:tc>
        <w:tc>
          <w:tcPr>
            <w:tcW w:w="0" w:type="auto"/>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★2.9</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重量：＜1.5kg（包装重量，含所有配件），可随身携带</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2.10</w:t>
            </w:r>
          </w:p>
        </w:tc>
        <w:tc>
          <w:tcPr>
            <w:tcW w:w="0" w:type="auto"/>
            <w:vAlign w:val="top"/>
          </w:tcPr>
          <w:p>
            <w:pPr>
              <w:rPr>
                <w:rFonts w:hint="eastAsia" w:asciiTheme="minorEastAsia" w:hAnsiTheme="minorEastAsia" w:eastAsiaTheme="minorEastAsia" w:cstheme="minorEastAsia"/>
                <w:sz w:val="24"/>
                <w:szCs w:val="24"/>
              </w:rPr>
            </w:pPr>
            <w:r>
              <w:rPr>
                <w:rFonts w:ascii="宋体" w:hAnsi="宋体"/>
                <w:sz w:val="24"/>
                <w:szCs w:val="24"/>
              </w:rPr>
              <w:t>双</w:t>
            </w:r>
            <w:r>
              <w:rPr>
                <w:rFonts w:hint="eastAsia" w:ascii="宋体" w:hAnsi="宋体"/>
                <w:sz w:val="24"/>
                <w:szCs w:val="24"/>
              </w:rPr>
              <w:t>通道</w:t>
            </w:r>
            <w:r>
              <w:rPr>
                <w:rFonts w:ascii="宋体" w:hAnsi="宋体"/>
                <w:sz w:val="24"/>
                <w:szCs w:val="24"/>
              </w:rPr>
              <w:t>输出</w:t>
            </w:r>
            <w:r>
              <w:rPr>
                <w:rFonts w:hint="eastAsia" w:ascii="宋体" w:hAnsi="宋体"/>
                <w:sz w:val="24"/>
                <w:szCs w:val="24"/>
              </w:rPr>
              <w:t>，并可分别设置治疗强度</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2.11</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体积小巧轻便，便于携带</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2.12</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操作简单方便</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2.13</w:t>
            </w:r>
          </w:p>
        </w:tc>
        <w:tc>
          <w:tcPr>
            <w:tcW w:w="0" w:type="auto"/>
            <w:vAlign w:val="top"/>
          </w:tcPr>
          <w:p>
            <w:pPr>
              <w:rPr>
                <w:rFonts w:hint="eastAsia" w:asciiTheme="minorEastAsia" w:hAnsiTheme="minorEastAsia" w:eastAsiaTheme="minorEastAsia" w:cstheme="minorEastAsia"/>
                <w:sz w:val="24"/>
                <w:szCs w:val="24"/>
              </w:rPr>
            </w:pPr>
            <w:r>
              <w:rPr>
                <w:rFonts w:ascii="宋体" w:hAnsi="宋体"/>
                <w:sz w:val="24"/>
                <w:szCs w:val="24"/>
              </w:rPr>
              <w:t>脉冲比率固定值300</w:t>
            </w:r>
            <w:r>
              <w:rPr>
                <w:rFonts w:hint="eastAsia" w:ascii="宋体" w:hAnsi="宋体"/>
                <w:sz w:val="24"/>
                <w:szCs w:val="24"/>
              </w:rPr>
              <w:t xml:space="preserve"> </w:t>
            </w:r>
            <w:r>
              <w:rPr>
                <w:rFonts w:ascii="宋体" w:hAnsi="宋体"/>
                <w:sz w:val="24"/>
                <w:szCs w:val="24"/>
              </w:rPr>
              <w:t>us</w:t>
            </w:r>
            <w:r>
              <w:rPr>
                <w:rFonts w:hint="eastAsia" w:ascii="宋体" w:hAnsi="宋体"/>
                <w:sz w:val="24"/>
                <w:szCs w:val="24"/>
              </w:rPr>
              <w:t>，不需调节</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★2.14</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电流输出最大为25mA，避免引起喉部痉挛</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★2.15</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安全锁功能，开始治疗30s之后锁定治疗强度，避免治疗过程中触发电刺激调节导致的意外损伤</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2.16</w:t>
            </w:r>
          </w:p>
        </w:tc>
        <w:tc>
          <w:tcPr>
            <w:tcW w:w="0" w:type="auto"/>
            <w:vAlign w:val="top"/>
          </w:tcPr>
          <w:p>
            <w:pPr>
              <w:rPr>
                <w:rFonts w:hint="eastAsia" w:asciiTheme="minorEastAsia" w:hAnsiTheme="minorEastAsia" w:eastAsiaTheme="minorEastAsia" w:cstheme="minorEastAsia"/>
                <w:sz w:val="24"/>
                <w:szCs w:val="24"/>
              </w:rPr>
            </w:pPr>
            <w:r>
              <w:rPr>
                <w:rFonts w:ascii="宋体" w:hAnsi="宋体"/>
                <w:sz w:val="24"/>
                <w:szCs w:val="24"/>
              </w:rPr>
              <w:t>输出保护：任何单一组件具有短路保护</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2.17</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产地:原装进口</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★2.18</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通过美国CFDA 、FDA、CE、ISO认证</w:t>
            </w:r>
          </w:p>
        </w:tc>
        <w:tc>
          <w:tcPr>
            <w:tcW w:w="0" w:type="auto"/>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0" w:type="auto"/>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0" w:type="auto"/>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0" w:type="auto"/>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0" w:type="auto"/>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5.8</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其它优惠条款</w:t>
            </w:r>
          </w:p>
        </w:tc>
        <w:tc>
          <w:tcPr>
            <w:tcW w:w="0" w:type="auto"/>
            <w:vAlign w:val="top"/>
          </w:tcPr>
          <w:p>
            <w:pPr>
              <w:rPr>
                <w:rFonts w:hint="eastAsia" w:asciiTheme="minorEastAsia" w:hAnsiTheme="minorEastAsia" w:eastAsiaTheme="minorEastAsia" w:cstheme="minorEastAsia"/>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8"/>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hint="default"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九、我院正式合同版本</w:t>
      </w:r>
    </w:p>
    <w:p>
      <w:pPr>
        <w:pStyle w:val="7"/>
        <w:rPr>
          <w:rFonts w:hint="eastAsia"/>
          <w:sz w:val="30"/>
          <w:szCs w:val="30"/>
        </w:rPr>
      </w:pPr>
    </w:p>
    <w:p>
      <w:pPr>
        <w:pStyle w:val="7"/>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2"/>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8"/>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5"/>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5"/>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5"/>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5"/>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5"/>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6"/>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6"/>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6"/>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6"/>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2"/>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6"/>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6"/>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6"/>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6"/>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6"/>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2"/>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6"/>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6"/>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6"/>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6"/>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6"/>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6"/>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6"/>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6"/>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6"/>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6"/>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6"/>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6"/>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6"/>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6"/>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6"/>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6"/>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6"/>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6"/>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2"/>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6"/>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6"/>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6"/>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8"/>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79468F0"/>
    <w:rsid w:val="0A277157"/>
    <w:rsid w:val="0A323667"/>
    <w:rsid w:val="0B691EBF"/>
    <w:rsid w:val="0D6B27A0"/>
    <w:rsid w:val="0D737863"/>
    <w:rsid w:val="10827943"/>
    <w:rsid w:val="11D15B1C"/>
    <w:rsid w:val="11D56F8A"/>
    <w:rsid w:val="129A029D"/>
    <w:rsid w:val="12C9410A"/>
    <w:rsid w:val="14C02644"/>
    <w:rsid w:val="157B401A"/>
    <w:rsid w:val="165B3C1A"/>
    <w:rsid w:val="17453125"/>
    <w:rsid w:val="184F31D7"/>
    <w:rsid w:val="1A2E6DE6"/>
    <w:rsid w:val="1D4821A9"/>
    <w:rsid w:val="202B56B1"/>
    <w:rsid w:val="22723315"/>
    <w:rsid w:val="22CF7097"/>
    <w:rsid w:val="232E51F6"/>
    <w:rsid w:val="23884864"/>
    <w:rsid w:val="27E45486"/>
    <w:rsid w:val="2B057E38"/>
    <w:rsid w:val="2BA52826"/>
    <w:rsid w:val="2C32233B"/>
    <w:rsid w:val="2D7F5632"/>
    <w:rsid w:val="2EB05F76"/>
    <w:rsid w:val="2FBD42B3"/>
    <w:rsid w:val="30D412A1"/>
    <w:rsid w:val="30E84F1F"/>
    <w:rsid w:val="316641F0"/>
    <w:rsid w:val="31F8416E"/>
    <w:rsid w:val="32CE7A3F"/>
    <w:rsid w:val="33951D5C"/>
    <w:rsid w:val="34117E05"/>
    <w:rsid w:val="351B0D6F"/>
    <w:rsid w:val="35633FD8"/>
    <w:rsid w:val="37C66C9B"/>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A254910"/>
    <w:rsid w:val="4B956476"/>
    <w:rsid w:val="4D3D3121"/>
    <w:rsid w:val="4DCB17F7"/>
    <w:rsid w:val="53423D16"/>
    <w:rsid w:val="534B0A6F"/>
    <w:rsid w:val="539D45B7"/>
    <w:rsid w:val="53CA557A"/>
    <w:rsid w:val="545A32FC"/>
    <w:rsid w:val="547D6E0D"/>
    <w:rsid w:val="584110E8"/>
    <w:rsid w:val="587C329C"/>
    <w:rsid w:val="595B205E"/>
    <w:rsid w:val="5A4777C5"/>
    <w:rsid w:val="5A6E001E"/>
    <w:rsid w:val="5DEC7787"/>
    <w:rsid w:val="5DFE7766"/>
    <w:rsid w:val="5FE37936"/>
    <w:rsid w:val="60F93F09"/>
    <w:rsid w:val="683E0693"/>
    <w:rsid w:val="685E7C65"/>
    <w:rsid w:val="68AB5C34"/>
    <w:rsid w:val="698F00A6"/>
    <w:rsid w:val="6A800692"/>
    <w:rsid w:val="6BF3478F"/>
    <w:rsid w:val="6DE10695"/>
    <w:rsid w:val="6E6658CD"/>
    <w:rsid w:val="6F1A55B9"/>
    <w:rsid w:val="711B411C"/>
    <w:rsid w:val="7392213F"/>
    <w:rsid w:val="739F5CC0"/>
    <w:rsid w:val="748F3673"/>
    <w:rsid w:val="772F4719"/>
    <w:rsid w:val="773504DF"/>
    <w:rsid w:val="78667688"/>
    <w:rsid w:val="7A192AA7"/>
    <w:rsid w:val="7B395E66"/>
    <w:rsid w:val="7C4831AB"/>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qFormat/>
    <w:uiPriority w:val="20"/>
    <w:rPr>
      <w:i/>
      <w:iCs/>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6">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7">
    <w:name w:val="NormalCharacter"/>
    <w:semiHidden/>
    <w:qFormat/>
    <w:uiPriority w:val="0"/>
  </w:style>
  <w:style w:type="character" w:customStyle="1" w:styleId="18">
    <w:name w:val="font3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character" w:customStyle="1" w:styleId="20">
    <w:name w:val="font4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6617</Words>
  <Characters>6859</Characters>
  <Lines>6</Lines>
  <Paragraphs>1</Paragraphs>
  <TotalTime>0</TotalTime>
  <ScaleCrop>false</ScaleCrop>
  <LinksUpToDate>false</LinksUpToDate>
  <CharactersWithSpaces>7361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2022-05-03T08:15:00Z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