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3"/>
          <w:rFonts w:hint="eastAsia" w:asciiTheme="minorEastAsia" w:hAnsiTheme="minorEastAsia" w:eastAsiaTheme="minorEastAsia" w:cstheme="minorEastAsia"/>
          <w:b/>
          <w:bCs/>
          <w:sz w:val="32"/>
          <w:szCs w:val="32"/>
          <w:lang w:val="en-US" w:eastAsia="zh-CN"/>
        </w:rPr>
      </w:pPr>
      <w:r>
        <w:rPr>
          <w:rStyle w:val="13"/>
          <w:rFonts w:hint="eastAsia" w:asciiTheme="minorEastAsia" w:hAnsiTheme="minorEastAsia" w:eastAsiaTheme="minorEastAsia" w:cstheme="minorEastAsia"/>
          <w:b/>
          <w:bCs/>
          <w:sz w:val="36"/>
          <w:szCs w:val="36"/>
          <w:lang w:val="en-US" w:eastAsia="zh-CN"/>
        </w:rPr>
        <w:t>温州市中医院关于便携式肺功能检测仪项目的招标</w:t>
      </w:r>
    </w:p>
    <w:p>
      <w:pPr>
        <w:numPr>
          <w:ilvl w:val="0"/>
          <w:numId w:val="1"/>
        </w:numPr>
        <w:jc w:val="both"/>
        <w:rPr>
          <w:rStyle w:val="13"/>
          <w:rFonts w:hint="eastAsia" w:asciiTheme="minorEastAsia" w:hAnsiTheme="minorEastAsia" w:eastAsiaTheme="minorEastAsia" w:cstheme="minorEastAsia"/>
          <w:b/>
          <w:bCs/>
          <w:sz w:val="32"/>
          <w:szCs w:val="32"/>
        </w:rPr>
      </w:pPr>
      <w:r>
        <w:rPr>
          <w:rStyle w:val="13"/>
          <w:rFonts w:hint="eastAsia" w:asciiTheme="minorEastAsia" w:hAnsiTheme="minorEastAsia" w:eastAsiaTheme="minorEastAsia" w:cstheme="minorEastAsia"/>
          <w:b/>
          <w:bCs/>
          <w:sz w:val="32"/>
          <w:szCs w:val="32"/>
        </w:rPr>
        <w:t>项目基本情况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5"/>
        <w:gridCol w:w="5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05" w:type="dxa"/>
          </w:tcPr>
          <w:p>
            <w:pPr>
              <w:jc w:val="left"/>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项目编号：2022-sb-cg-009</w:t>
            </w:r>
          </w:p>
        </w:tc>
        <w:tc>
          <w:tcPr>
            <w:tcW w:w="5183" w:type="dxa"/>
          </w:tcPr>
          <w:p>
            <w:pPr>
              <w:jc w:val="left"/>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项目名称：便携式肺功能检测仪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jc w:val="left"/>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数量：1台</w:t>
            </w:r>
          </w:p>
        </w:tc>
        <w:tc>
          <w:tcPr>
            <w:tcW w:w="5183" w:type="dxa"/>
          </w:tcPr>
          <w:p>
            <w:pPr>
              <w:jc w:val="left"/>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预算总金额（元）:4.5万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2"/>
          </w:tcPr>
          <w:p>
            <w:pPr>
              <w:jc w:val="left"/>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简要规格描述或项目基本概况介绍、用途：用于院区进行床边肺通气功能检测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2"/>
          </w:tcPr>
          <w:p>
            <w:pPr>
              <w:jc w:val="left"/>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备注：国产</w:t>
            </w:r>
          </w:p>
        </w:tc>
      </w:tr>
    </w:tbl>
    <w:p>
      <w:pPr>
        <w:jc w:val="both"/>
        <w:rPr>
          <w:rFonts w:hint="eastAsia" w:asciiTheme="minorEastAsia" w:hAnsiTheme="minorEastAsia" w:eastAsiaTheme="minorEastAsia" w:cstheme="minorEastAsia"/>
          <w:b w:val="0"/>
          <w:bCs w:val="0"/>
          <w:sz w:val="24"/>
          <w:szCs w:val="24"/>
        </w:rPr>
      </w:pPr>
    </w:p>
    <w:p>
      <w:pPr>
        <w:numPr>
          <w:ilvl w:val="0"/>
          <w:numId w:val="1"/>
        </w:numPr>
        <w:jc w:val="both"/>
        <w:rPr>
          <w:rStyle w:val="13"/>
          <w:rFonts w:hint="eastAsia" w:asciiTheme="minorEastAsia" w:hAnsiTheme="minorEastAsia" w:eastAsiaTheme="minorEastAsia" w:cstheme="minorEastAsia"/>
          <w:b/>
          <w:bCs/>
          <w:sz w:val="32"/>
          <w:szCs w:val="32"/>
          <w:lang w:val="en-US" w:eastAsia="zh-CN"/>
        </w:rPr>
      </w:pPr>
      <w:r>
        <w:rPr>
          <w:rStyle w:val="13"/>
          <w:rFonts w:hint="eastAsia" w:asciiTheme="minorEastAsia" w:hAnsiTheme="minorEastAsia" w:eastAsiaTheme="minorEastAsia" w:cstheme="minorEastAsia"/>
          <w:b/>
          <w:bCs/>
          <w:sz w:val="32"/>
          <w:szCs w:val="32"/>
          <w:lang w:val="en-US" w:eastAsia="zh-CN"/>
        </w:rPr>
        <w:t>采购方式和定标原则</w:t>
      </w:r>
    </w:p>
    <w:p>
      <w:pPr>
        <w:numPr>
          <w:ilvl w:val="0"/>
          <w:numId w:val="0"/>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本项目我院采取院内组织公开招标的方式，以综合评分最高者中标的原则确定中标供应商。</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3"/>
          <w:rFonts w:hint="eastAsia" w:asciiTheme="minorEastAsia" w:hAnsiTheme="minorEastAsia" w:eastAsiaTheme="minorEastAsia" w:cstheme="minorEastAsia"/>
          <w:b/>
          <w:bCs/>
          <w:kern w:val="2"/>
          <w:sz w:val="32"/>
          <w:szCs w:val="32"/>
          <w:lang w:val="en-US" w:eastAsia="zh-CN" w:bidi="ar-SA"/>
        </w:rPr>
      </w:pPr>
      <w:r>
        <w:rPr>
          <w:rStyle w:val="13"/>
          <w:rFonts w:hint="eastAsia" w:asciiTheme="minorEastAsia" w:hAnsiTheme="minorEastAsia" w:eastAsiaTheme="minorEastAsia" w:cstheme="minorEastAsia"/>
          <w:b/>
          <w:bCs/>
          <w:kern w:val="2"/>
          <w:sz w:val="32"/>
          <w:szCs w:val="32"/>
          <w:lang w:val="en-US" w:eastAsia="zh-CN" w:bidi="ar-SA"/>
        </w:rPr>
        <w:t>获取招标文件</w:t>
      </w:r>
    </w:p>
    <w:p>
      <w:pPr>
        <w:pStyle w:val="8"/>
        <w:keepNext w:val="0"/>
        <w:keepLines w:val="0"/>
        <w:widowControl/>
        <w:suppressLineNumbers w:val="0"/>
        <w:spacing w:line="300" w:lineRule="atLeast"/>
        <w:rPr>
          <w:rFonts w:hint="eastAsia" w:asciiTheme="minorEastAsia" w:hAnsiTheme="minorEastAsia" w:eastAsiaTheme="minorEastAsia" w:cstheme="minorEastAsia"/>
          <w:kern w:val="2"/>
          <w:sz w:val="24"/>
          <w:szCs w:val="24"/>
          <w:highlight w:val="yellow"/>
          <w:lang w:val="en-US" w:eastAsia="zh-CN" w:bidi="ar-SA"/>
        </w:rPr>
      </w:pPr>
      <w:r>
        <w:rPr>
          <w:rFonts w:hint="eastAsia" w:asciiTheme="minorEastAsia" w:hAnsiTheme="minorEastAsia" w:eastAsiaTheme="minorEastAsia" w:cstheme="minorEastAsia"/>
          <w:kern w:val="2"/>
          <w:sz w:val="24"/>
          <w:szCs w:val="24"/>
          <w:lang w:val="en-US" w:eastAsia="zh-CN" w:bidi="ar-SA"/>
        </w:rPr>
        <w:t>地点（网址）</w:t>
      </w:r>
      <w:r>
        <w:rPr>
          <w:rFonts w:hint="eastAsia" w:asciiTheme="minorEastAsia" w:hAnsiTheme="minorEastAsia" w:eastAsiaTheme="minorEastAsia" w:cstheme="minorEastAsia"/>
          <w:kern w:val="2"/>
          <w:sz w:val="24"/>
          <w:szCs w:val="24"/>
          <w:highlight w:val="none"/>
          <w:lang w:val="en-US" w:eastAsia="zh-CN" w:bidi="ar-SA"/>
        </w:rPr>
        <w:t>：</w:t>
      </w:r>
      <w:r>
        <w:rPr>
          <w:rFonts w:hint="eastAsia" w:asciiTheme="minorEastAsia" w:hAnsiTheme="minorEastAsia" w:eastAsiaTheme="minorEastAsia" w:cstheme="minorEastAsia"/>
          <w:kern w:val="2"/>
          <w:szCs w:val="24"/>
          <w:highlight w:val="none"/>
          <w:lang w:eastAsia="zh-CN"/>
        </w:rPr>
        <w:t>h</w:t>
      </w:r>
      <w:r>
        <w:rPr>
          <w:rFonts w:hint="eastAsia" w:asciiTheme="minorEastAsia" w:hAnsiTheme="minorEastAsia" w:eastAsiaTheme="minorEastAsia" w:cstheme="minorEastAsia"/>
          <w:kern w:val="2"/>
          <w:szCs w:val="24"/>
          <w:lang w:eastAsia="zh-CN"/>
        </w:rPr>
        <w:t>ttp://www.wzszyy.com/</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3"/>
          <w:rFonts w:hint="eastAsia" w:asciiTheme="minorEastAsia" w:hAnsiTheme="minorEastAsia" w:eastAsiaTheme="minorEastAsia" w:cstheme="minorEastAsia"/>
          <w:b/>
          <w:bCs/>
          <w:kern w:val="2"/>
          <w:sz w:val="32"/>
          <w:szCs w:val="32"/>
          <w:lang w:val="en-US" w:eastAsia="zh-CN" w:bidi="ar-SA"/>
        </w:rPr>
      </w:pPr>
      <w:r>
        <w:rPr>
          <w:rStyle w:val="13"/>
          <w:rFonts w:hint="eastAsia" w:asciiTheme="minorEastAsia" w:hAnsiTheme="minorEastAsia" w:eastAsiaTheme="minorEastAsia" w:cstheme="minorEastAsia"/>
          <w:b/>
          <w:bCs/>
          <w:kern w:val="2"/>
          <w:sz w:val="32"/>
          <w:szCs w:val="32"/>
          <w:lang w:val="en-US" w:eastAsia="zh-CN" w:bidi="ar-SA"/>
        </w:rPr>
        <w:t>提交投标文件截止时间、开标时间和地点</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1、</w:t>
      </w:r>
      <w:r>
        <w:rPr>
          <w:rFonts w:hint="eastAsia" w:asciiTheme="minorEastAsia" w:hAnsiTheme="minorEastAsia" w:eastAsiaTheme="minorEastAsia" w:cstheme="minorEastAsia"/>
          <w:kern w:val="2"/>
          <w:sz w:val="24"/>
          <w:szCs w:val="24"/>
          <w:lang w:val="en-US" w:eastAsia="zh-CN" w:bidi="ar-SA"/>
        </w:rPr>
        <w:t>提交投标文件截止时间：2022年5月</w:t>
      </w:r>
      <w:r>
        <w:rPr>
          <w:rFonts w:hint="eastAsia" w:asciiTheme="minorEastAsia" w:hAnsiTheme="minorEastAsia" w:cstheme="minorEastAsia"/>
          <w:kern w:val="2"/>
          <w:sz w:val="24"/>
          <w:szCs w:val="24"/>
          <w:lang w:val="en-US" w:eastAsia="zh-CN" w:bidi="ar-SA"/>
        </w:rPr>
        <w:t>13</w:t>
      </w:r>
      <w:r>
        <w:rPr>
          <w:rFonts w:hint="eastAsia" w:asciiTheme="minorEastAsia" w:hAnsiTheme="minorEastAsia" w:eastAsiaTheme="minorEastAsia" w:cstheme="minorEastAsia"/>
          <w:kern w:val="2"/>
          <w:sz w:val="24"/>
          <w:szCs w:val="24"/>
          <w:lang w:val="en-US" w:eastAsia="zh-CN" w:bidi="ar-SA"/>
        </w:rPr>
        <w:t>日下午14：00（北京时间）</w:t>
      </w:r>
      <w:r>
        <w:rPr>
          <w:rFonts w:hint="eastAsia" w:asciiTheme="minorEastAsia" w:hAnsiTheme="minorEastAsia" w:eastAsiaTheme="minorEastAsia" w:cstheme="minorEastAsia"/>
          <w:kern w:val="2"/>
          <w:sz w:val="24"/>
          <w:szCs w:val="24"/>
          <w:lang w:val="en-US" w:eastAsia="zh-CN" w:bidi="ar-SA"/>
        </w:rPr>
        <w:br w:type="textWrapping"/>
      </w:r>
      <w:r>
        <w:rPr>
          <w:rFonts w:hint="eastAsia" w:asciiTheme="minorEastAsia" w:hAnsiTheme="minorEastAsia" w:cstheme="minorEastAsia"/>
          <w:kern w:val="2"/>
          <w:sz w:val="24"/>
          <w:szCs w:val="24"/>
          <w:lang w:val="en-US" w:eastAsia="zh-CN" w:bidi="ar-SA"/>
        </w:rPr>
        <w:t>2、</w:t>
      </w:r>
      <w:r>
        <w:rPr>
          <w:rFonts w:hint="eastAsia" w:asciiTheme="minorEastAsia" w:hAnsiTheme="minorEastAsia" w:eastAsiaTheme="minorEastAsia" w:cstheme="minorEastAsia"/>
          <w:kern w:val="2"/>
          <w:sz w:val="24"/>
          <w:szCs w:val="24"/>
          <w:lang w:val="en-US" w:eastAsia="zh-CN" w:bidi="ar-SA"/>
        </w:rPr>
        <w:t>开标时间：2022年5月</w:t>
      </w:r>
      <w:r>
        <w:rPr>
          <w:rFonts w:hint="eastAsia" w:asciiTheme="minorEastAsia" w:hAnsiTheme="minorEastAsia" w:cstheme="minorEastAsia"/>
          <w:kern w:val="2"/>
          <w:sz w:val="24"/>
          <w:szCs w:val="24"/>
          <w:lang w:val="en-US" w:eastAsia="zh-CN" w:bidi="ar-SA"/>
        </w:rPr>
        <w:t>13</w:t>
      </w:r>
      <w:r>
        <w:rPr>
          <w:rFonts w:hint="eastAsia" w:asciiTheme="minorEastAsia" w:hAnsiTheme="minorEastAsia" w:eastAsiaTheme="minorEastAsia" w:cstheme="minorEastAsia"/>
          <w:kern w:val="2"/>
          <w:sz w:val="24"/>
          <w:szCs w:val="24"/>
          <w:lang w:val="en-US" w:eastAsia="zh-CN" w:bidi="ar-SA"/>
        </w:rPr>
        <w:t>日下午14：10（北京时间）</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3、</w:t>
      </w:r>
      <w:r>
        <w:rPr>
          <w:rFonts w:hint="eastAsia" w:asciiTheme="minorEastAsia" w:hAnsiTheme="minorEastAsia" w:eastAsiaTheme="minorEastAsia" w:cstheme="minorEastAsia"/>
          <w:kern w:val="2"/>
          <w:sz w:val="24"/>
          <w:szCs w:val="24"/>
          <w:lang w:val="en-US" w:eastAsia="zh-CN" w:bidi="ar-SA"/>
        </w:rPr>
        <w:t xml:space="preserve">开标地点：温州市中医院行政楼3楼309会议室 </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4、</w:t>
      </w:r>
      <w:r>
        <w:rPr>
          <w:rFonts w:hint="eastAsia" w:asciiTheme="minorEastAsia" w:hAnsiTheme="minorEastAsia" w:eastAsiaTheme="minorEastAsia" w:cstheme="minorEastAsia"/>
          <w:kern w:val="2"/>
          <w:sz w:val="24"/>
          <w:szCs w:val="24"/>
          <w:lang w:val="en-US" w:eastAsia="zh-CN" w:bidi="ar-SA"/>
        </w:rPr>
        <w:t>包装要求:投标文件的技术资信标、商务（报价</w:t>
      </w:r>
      <w:bookmarkStart w:id="0" w:name="_GoBack"/>
      <w:bookmarkEnd w:id="0"/>
      <w:r>
        <w:rPr>
          <w:rFonts w:hint="eastAsia" w:asciiTheme="minorEastAsia" w:hAnsiTheme="minorEastAsia" w:eastAsiaTheme="minorEastAsia" w:cstheme="minorEastAsia"/>
          <w:kern w:val="2"/>
          <w:sz w:val="24"/>
          <w:szCs w:val="24"/>
          <w:lang w:val="en-US" w:eastAsia="zh-CN" w:bidi="ar-SA"/>
        </w:rPr>
        <w:t>）标分别密封于包封袋中，并在封套的封口处加盖投标人单位章，并由法定代表人或其授权代表签字。</w:t>
      </w:r>
    </w:p>
    <w:p>
      <w:pPr>
        <w:rPr>
          <w:rFonts w:hint="eastAsia" w:asciiTheme="minorEastAsia" w:hAnsi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5、</w:t>
      </w:r>
      <w:r>
        <w:rPr>
          <w:rFonts w:hint="eastAsia" w:asciiTheme="minorEastAsia" w:hAnsiTheme="minorEastAsia" w:eastAsiaTheme="minorEastAsia" w:cstheme="minorEastAsia"/>
          <w:kern w:val="2"/>
          <w:sz w:val="24"/>
          <w:szCs w:val="24"/>
          <w:lang w:val="en-US" w:eastAsia="zh-CN" w:bidi="ar-SA"/>
        </w:rPr>
        <w:t>投标方式：接受邮寄和现场投递的纸质投标文件</w:t>
      </w:r>
      <w:r>
        <w:rPr>
          <w:rFonts w:hint="eastAsia" w:asciiTheme="minorEastAsia" w:hAnsiTheme="minorEastAsia" w:cstheme="minorEastAsia"/>
          <w:kern w:val="2"/>
          <w:sz w:val="24"/>
          <w:szCs w:val="24"/>
          <w:lang w:val="en-US" w:eastAsia="zh-CN" w:bidi="ar-SA"/>
        </w:rPr>
        <w:t>/</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6、</w:t>
      </w:r>
      <w:r>
        <w:rPr>
          <w:rFonts w:hint="eastAsia" w:asciiTheme="minorEastAsia" w:hAnsiTheme="minorEastAsia" w:eastAsiaTheme="minorEastAsia" w:cstheme="minorEastAsia"/>
          <w:kern w:val="2"/>
          <w:sz w:val="24"/>
          <w:szCs w:val="24"/>
          <w:lang w:val="en-US" w:eastAsia="zh-CN" w:bidi="ar-SA"/>
        </w:rPr>
        <w:t>其他:招标文件一式三份，一正两副加盖公章</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3"/>
          <w:rFonts w:hint="eastAsia" w:asciiTheme="minorEastAsia" w:hAnsiTheme="minorEastAsia" w:eastAsiaTheme="minorEastAsia" w:cstheme="minorEastAsia"/>
          <w:b/>
          <w:bCs/>
          <w:kern w:val="2"/>
          <w:sz w:val="32"/>
          <w:szCs w:val="32"/>
          <w:lang w:val="en-US" w:eastAsia="zh-CN" w:bidi="ar-SA"/>
        </w:rPr>
      </w:pPr>
      <w:r>
        <w:rPr>
          <w:rStyle w:val="13"/>
          <w:rFonts w:hint="eastAsia" w:asciiTheme="minorEastAsia" w:hAnsiTheme="minorEastAsia" w:eastAsiaTheme="minorEastAsia" w:cstheme="minorEastAsia"/>
          <w:b/>
          <w:bCs/>
          <w:kern w:val="2"/>
          <w:sz w:val="32"/>
          <w:szCs w:val="32"/>
          <w:lang w:val="en-US" w:eastAsia="zh-CN" w:bidi="ar-SA"/>
        </w:rPr>
        <w:t>公告期限 </w:t>
      </w:r>
    </w:p>
    <w:p>
      <w:pPr>
        <w:pStyle w:val="8"/>
        <w:keepNext w:val="0"/>
        <w:keepLines w:val="0"/>
        <w:widowControl/>
        <w:suppressLineNumbers w:val="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自本公告发布之日起5个工作日。</w:t>
      </w:r>
    </w:p>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3"/>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417" w:firstLineChars="174"/>
        <w:jc w:val="left"/>
        <w:outlineLvl w:val="2"/>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（一）投标文件的组成</w:t>
      </w:r>
    </w:p>
    <w:p>
      <w:pPr>
        <w:snapToGrid w:val="0"/>
        <w:spacing w:line="360" w:lineRule="auto"/>
        <w:ind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投标文件由资格证明文件、商务技术文件和报价文件三部份组成</w:t>
      </w:r>
      <w:r>
        <w:rPr>
          <w:rFonts w:hint="eastAsia" w:asciiTheme="minorEastAsia" w:hAnsiTheme="minorEastAsia" w:eastAsiaTheme="minorEastAsia" w:cstheme="minorEastAsia"/>
          <w:b w:val="0"/>
          <w:bCs/>
          <w:sz w:val="24"/>
          <w:szCs w:val="24"/>
          <w:lang w:eastAsia="zh-CN"/>
        </w:rPr>
        <w:t>。</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1.资格证明文件：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（1）投标人资格承诺函；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（2）法人或者其他组织投标的提供营业执照等证明文件，自然人投标的提供身份证明；</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 商务技术文件：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（1）投标人营业执照；</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投标人为医疗器械经营企业的：第三类医疗器械经营企业提供《医疗器械经营许可证》、第二类医疗器械经营企业提供第二类医疗器械经营备案凭证；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且投标人经备案或许可的经营范围必须包含本次投标的所有医疗器械；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（3）提供食品药品监督管理部门核发的完整有效的医疗器械注册或备案证明；</w:t>
      </w:r>
    </w:p>
    <w:p>
      <w:pPr>
        <w:snapToGrid w:val="0"/>
        <w:spacing w:line="360" w:lineRule="auto"/>
        <w:ind w:firstLine="470" w:firstLineChars="196"/>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▲（4）货物制造商或其它有销售资格（提供证明材料）的供应商出具的授权书（适用于投标人是进口货物代理商的情形）；</w:t>
      </w:r>
    </w:p>
    <w:p>
      <w:pPr>
        <w:snapToGrid w:val="0"/>
        <w:spacing w:line="360" w:lineRule="auto"/>
        <w:ind w:firstLine="470" w:firstLineChars="196"/>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kern w:val="0"/>
          <w:sz w:val="24"/>
          <w:szCs w:val="24"/>
        </w:rPr>
        <w:t>（5）投标声明函</w:t>
      </w:r>
      <w:r>
        <w:rPr>
          <w:rFonts w:hint="eastAsia" w:asciiTheme="minorEastAsia" w:hAnsiTheme="minorEastAsia" w:eastAsiaTheme="minorEastAsia" w:cstheme="minorEastAsia"/>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（6）投标产品一览表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（7）技术响应表；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（8）合同条款响应承诺</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（9）设备配置清单；</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（10）消耗品或易耗品价格； </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（11）售后服务承诺书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（12）业绩证明</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（13）投标人建议的安装、调试、验收方法或方案；</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（14）技术服务、技术培训的内容和措施；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（15）项目实施人员一览表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（16）维修能力（详见评分标准要求）；</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（17）投标机型的彩页和原厂技术参数；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）评分方法中的评审证明文件等；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）投标人认为需要提供的其他文件。</w:t>
      </w:r>
    </w:p>
    <w:p>
      <w:pPr>
        <w:snapToGrid w:val="0"/>
        <w:spacing w:line="360" w:lineRule="auto"/>
        <w:ind w:firstLine="472" w:firstLineChars="196"/>
        <w:jc w:val="left"/>
        <w:rPr>
          <w:rFonts w:hint="eastAsia" w:asciiTheme="minorEastAsia" w:hAnsiTheme="minorEastAsia" w:eastAsiaTheme="minorEastAsia" w:cstheme="minorEastAsia"/>
          <w:b/>
          <w:sz w:val="24"/>
          <w:szCs w:val="24"/>
        </w:rPr>
      </w:pPr>
    </w:p>
    <w:p>
      <w:pPr>
        <w:snapToGrid w:val="0"/>
        <w:spacing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3.报价文件：</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（1）开标一览表；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（2）投标报价明细表；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（3）投标人针对报价需要说明的其他文件和说明（如有）；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（4）中小企业的相关证明材料（如有</w:t>
      </w:r>
      <w:r>
        <w:rPr>
          <w:rFonts w:hint="eastAsia" w:asciiTheme="minorEastAsia" w:hAnsiTheme="minorEastAsia" w:eastAsiaTheme="minorEastAsia" w:cstheme="minorEastAsia"/>
          <w:kern w:val="0"/>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（5）残疾人福利性单位声明函(如有）；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（6）由省级以上监狱管理局、戒毒管理局（含新疆生产建设兵团）出具的属于监狱企业的证明文件（如有）。</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3"/>
          <w:rFonts w:hint="eastAsia" w:asciiTheme="minorEastAsia" w:hAnsiTheme="minorEastAsia" w:eastAsiaTheme="minorEastAsia" w:cstheme="minorEastAsia"/>
          <w:b/>
          <w:bCs/>
          <w:kern w:val="2"/>
          <w:sz w:val="32"/>
          <w:szCs w:val="32"/>
          <w:lang w:val="en-US" w:eastAsia="zh-CN" w:bidi="ar-SA"/>
        </w:rPr>
      </w:pPr>
      <w:r>
        <w:rPr>
          <w:rStyle w:val="13"/>
          <w:rFonts w:hint="eastAsia" w:asciiTheme="minorEastAsia" w:hAnsiTheme="minorEastAsia" w:eastAsiaTheme="minorEastAsia" w:cstheme="minorEastAsia"/>
          <w:b/>
          <w:bCs/>
          <w:kern w:val="2"/>
          <w:sz w:val="32"/>
          <w:szCs w:val="32"/>
          <w:lang w:val="en-US" w:eastAsia="zh-CN" w:bidi="ar-SA"/>
        </w:rPr>
        <w:t>商务、技术参数偏离表</w:t>
      </w:r>
    </w:p>
    <w:p>
      <w:pPr>
        <w:snapToGrid w:val="0"/>
        <w:spacing w:line="360" w:lineRule="auto"/>
        <w:jc w:val="left"/>
        <w:rPr>
          <w:rFonts w:hint="eastAsia" w:asciiTheme="minorEastAsia" w:hAnsiTheme="minorEastAsia" w:eastAsiaTheme="minorEastAsia" w:cstheme="minorEastAsia"/>
          <w:sz w:val="24"/>
          <w:szCs w:val="24"/>
        </w:rPr>
      </w:pPr>
    </w:p>
    <w:tbl>
      <w:tblPr>
        <w:tblStyle w:val="11"/>
        <w:tblpPr w:leftFromText="180" w:rightFromText="180" w:vertAnchor="page" w:horzAnchor="page" w:tblpX="1425" w:tblpY="6613"/>
        <w:tblOverlap w:val="never"/>
        <w:tblW w:w="51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7260"/>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4" w:type="pct"/>
            <w:noWrap w:val="0"/>
            <w:vAlign w:val="top"/>
          </w:tcPr>
          <w:p>
            <w:pPr>
              <w:rPr>
                <w:rFonts w:hint="eastAsia" w:ascii="宋体" w:hAnsi="宋体" w:eastAsia="宋体" w:cs="宋体"/>
                <w:sz w:val="24"/>
                <w:szCs w:val="24"/>
              </w:rPr>
            </w:pPr>
            <w:r>
              <w:rPr>
                <w:rFonts w:hint="eastAsia" w:ascii="宋体" w:hAnsi="宋体" w:eastAsia="宋体" w:cs="宋体"/>
                <w:sz w:val="24"/>
                <w:szCs w:val="24"/>
              </w:rPr>
              <w:t>序号</w:t>
            </w:r>
          </w:p>
        </w:tc>
        <w:tc>
          <w:tcPr>
            <w:tcW w:w="3816" w:type="pct"/>
            <w:noWrap w:val="0"/>
            <w:vAlign w:val="top"/>
          </w:tcPr>
          <w:p>
            <w:pPr>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 xml:space="preserve">                 商务、技术参数要求</w:t>
            </w:r>
          </w:p>
        </w:tc>
        <w:tc>
          <w:tcPr>
            <w:tcW w:w="758" w:type="pct"/>
            <w:noWrap w:val="0"/>
            <w:vAlign w:val="top"/>
          </w:tcPr>
          <w:p>
            <w:pPr>
              <w:rPr>
                <w:rFonts w:hint="eastAsia" w:ascii="宋体" w:hAnsi="宋体" w:eastAsia="宋体" w:cs="宋体"/>
                <w:b/>
                <w:kern w:val="0"/>
                <w:sz w:val="24"/>
                <w:szCs w:val="24"/>
                <w:lang w:val="en-US" w:eastAsia="zh-CN"/>
              </w:rPr>
            </w:pPr>
            <w:r>
              <w:rPr>
                <w:rFonts w:hint="eastAsia" w:ascii="宋体" w:hAnsi="宋体" w:eastAsia="宋体" w:cs="宋体"/>
                <w:kern w:val="0"/>
                <w:sz w:val="24"/>
                <w:szCs w:val="24"/>
                <w:lang w:val="en-US" w:eastAsia="zh-CN"/>
              </w:rPr>
              <w:t>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4" w:type="pct"/>
            <w:noWrap w:val="0"/>
            <w:vAlign w:val="center"/>
          </w:tcPr>
          <w:p>
            <w:pPr>
              <w:keepNext w:val="0"/>
              <w:keepLines w:val="0"/>
              <w:widowControl/>
              <w:suppressLineNumbers w:val="0"/>
              <w:jc w:val="both"/>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一</w:t>
            </w:r>
          </w:p>
        </w:tc>
        <w:tc>
          <w:tcPr>
            <w:tcW w:w="3816" w:type="pct"/>
            <w:noWrap w:val="0"/>
            <w:vAlign w:val="top"/>
          </w:tcPr>
          <w:p>
            <w:pPr>
              <w:keepNext w:val="0"/>
              <w:keepLines w:val="0"/>
              <w:widowControl/>
              <w:suppressLineNumbers w:val="0"/>
              <w:jc w:val="both"/>
              <w:textAlignment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总体要求</w:t>
            </w:r>
          </w:p>
        </w:tc>
        <w:tc>
          <w:tcPr>
            <w:tcW w:w="758" w:type="pct"/>
            <w:noWrap w:val="0"/>
            <w:vAlign w:val="top"/>
          </w:tcPr>
          <w:p>
            <w:pPr>
              <w:jc w:val="both"/>
              <w:rPr>
                <w:rFonts w:hint="eastAsia" w:ascii="宋体" w:hAnsi="宋体" w:eastAsia="宋体"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4" w:type="pct"/>
            <w:noWrap w:val="0"/>
            <w:vAlign w:val="center"/>
          </w:tcPr>
          <w:p>
            <w:pPr>
              <w:keepNext w:val="0"/>
              <w:keepLines w:val="0"/>
              <w:widowControl/>
              <w:suppressLineNumbers w:val="0"/>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1.1</w:t>
            </w:r>
          </w:p>
        </w:tc>
        <w:tc>
          <w:tcPr>
            <w:tcW w:w="3816" w:type="pct"/>
            <w:noWrap w:val="0"/>
            <w:vAlign w:val="top"/>
          </w:tcPr>
          <w:p>
            <w:pPr>
              <w:keepNext w:val="0"/>
              <w:keepLines w:val="0"/>
              <w:widowControl/>
              <w:suppressLineNumbers w:val="0"/>
              <w:jc w:val="both"/>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采购便携式肺功能检测仪1台</w:t>
            </w:r>
          </w:p>
        </w:tc>
        <w:tc>
          <w:tcPr>
            <w:tcW w:w="758" w:type="pct"/>
            <w:noWrap w:val="0"/>
            <w:vAlign w:val="top"/>
          </w:tcPr>
          <w:p>
            <w:pPr>
              <w:jc w:val="both"/>
              <w:rPr>
                <w:rFonts w:hint="eastAsia" w:ascii="宋体" w:hAnsi="宋体" w:eastAsia="宋体" w:cs="宋体"/>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1.2</w:t>
            </w:r>
          </w:p>
        </w:tc>
        <w:tc>
          <w:tcPr>
            <w:tcW w:w="3816" w:type="pct"/>
            <w:noWrap w:val="0"/>
            <w:vAlign w:val="top"/>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设备用途：</w:t>
            </w:r>
            <w:r>
              <w:rPr>
                <w:rFonts w:hint="eastAsia" w:ascii="宋体" w:hAnsi="宋体" w:eastAsia="宋体" w:cs="宋体"/>
                <w:sz w:val="24"/>
                <w:szCs w:val="24"/>
              </w:rPr>
              <w:t>用于院区进行床边肺通气功能检测</w:t>
            </w:r>
          </w:p>
        </w:tc>
        <w:tc>
          <w:tcPr>
            <w:tcW w:w="758" w:type="pct"/>
            <w:noWrap w:val="0"/>
            <w:vAlign w:val="top"/>
          </w:tcPr>
          <w:p>
            <w:pPr>
              <w:jc w:val="center"/>
              <w:rPr>
                <w:rFonts w:hint="eastAsia" w:ascii="宋体" w:hAnsi="宋体" w:eastAsia="宋体" w:cs="宋体"/>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4" w:type="pct"/>
            <w:noWrap w:val="0"/>
            <w:vAlign w:val="center"/>
          </w:tcPr>
          <w:p>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二</w:t>
            </w:r>
          </w:p>
        </w:tc>
        <w:tc>
          <w:tcPr>
            <w:tcW w:w="3816" w:type="pct"/>
            <w:noWrap w:val="0"/>
            <w:vAlign w:val="top"/>
          </w:tcPr>
          <w:p>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主要功能要求与技术参数</w:t>
            </w:r>
          </w:p>
        </w:tc>
        <w:tc>
          <w:tcPr>
            <w:tcW w:w="758" w:type="pct"/>
            <w:noWrap w:val="0"/>
            <w:vAlign w:val="center"/>
          </w:tcPr>
          <w:p>
            <w:pPr>
              <w:jc w:val="center"/>
              <w:rPr>
                <w:rFonts w:hint="eastAsia" w:ascii="宋体" w:hAnsi="宋体" w:eastAsia="宋体" w:cs="宋体"/>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2.1</w:t>
            </w:r>
          </w:p>
        </w:tc>
        <w:tc>
          <w:tcPr>
            <w:tcW w:w="3816" w:type="pct"/>
            <w:noWrap w:val="0"/>
            <w:vAlign w:val="top"/>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sz w:val="24"/>
                <w:szCs w:val="24"/>
              </w:rPr>
              <w:t>传感器为压差式流量传感器</w:t>
            </w: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2.2</w:t>
            </w:r>
          </w:p>
        </w:tc>
        <w:tc>
          <w:tcPr>
            <w:tcW w:w="3816" w:type="pct"/>
            <w:noWrap w:val="0"/>
            <w:vAlign w:val="top"/>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sz w:val="24"/>
                <w:szCs w:val="24"/>
              </w:rPr>
              <w:t>肺通气功能指标检测项目：FVC、PEF、FEV1、FEV1/FVC、FEV3、FEV6、MEP、FIVC、PIF、MIP、MVV、MVV6、MV、BF、VT、ERV、IRV、IC等；需包含气道指标：FEF25\50\75\MMEF</w:t>
            </w: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2.3</w:t>
            </w:r>
          </w:p>
        </w:tc>
        <w:tc>
          <w:tcPr>
            <w:tcW w:w="3816" w:type="pct"/>
            <w:noWrap w:val="0"/>
            <w:vAlign w:val="top"/>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sz w:val="24"/>
                <w:szCs w:val="24"/>
              </w:rPr>
              <w:t>具备定标校验功能，可实现1-3升定标桶定标选择及三速定标方法，定标报告可打印存档</w:t>
            </w: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2.4</w:t>
            </w:r>
          </w:p>
        </w:tc>
        <w:tc>
          <w:tcPr>
            <w:tcW w:w="3816" w:type="pct"/>
            <w:noWrap w:val="0"/>
            <w:vAlign w:val="top"/>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sz w:val="24"/>
                <w:szCs w:val="24"/>
              </w:rPr>
              <w:t>检测结果结合内置GOLD指南自动分析；智能语音提醒测试过程、具备质控结果自动评定分析，可辅助临床诊断；</w:t>
            </w:r>
          </w:p>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sz w:val="24"/>
                <w:szCs w:val="24"/>
              </w:rPr>
              <w:t>云端存储，不限测试数据的存储数量</w:t>
            </w: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2.5</w:t>
            </w:r>
          </w:p>
        </w:tc>
        <w:tc>
          <w:tcPr>
            <w:tcW w:w="3816" w:type="pct"/>
            <w:noWrap w:val="0"/>
            <w:vAlign w:val="top"/>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sz w:val="24"/>
                <w:szCs w:val="24"/>
              </w:rPr>
              <w:t>呼气、吸气峰值流量（0~840LPM），误差±10%</w:t>
            </w: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2.6</w:t>
            </w:r>
          </w:p>
        </w:tc>
        <w:tc>
          <w:tcPr>
            <w:tcW w:w="3816" w:type="pct"/>
            <w:noWrap w:val="0"/>
            <w:vAlign w:val="top"/>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sz w:val="24"/>
                <w:szCs w:val="24"/>
              </w:rPr>
              <w:t xml:space="preserve">用力呼气、吸气肺活量（0~8L），误差±3% </w:t>
            </w: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2.7</w:t>
            </w:r>
          </w:p>
        </w:tc>
        <w:tc>
          <w:tcPr>
            <w:tcW w:w="3816" w:type="pct"/>
            <w:noWrap w:val="0"/>
            <w:vAlign w:val="top"/>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sz w:val="24"/>
                <w:szCs w:val="24"/>
              </w:rPr>
              <w:t>3.5寸或以上液晶触摸屏，可连接身份证读卡器，方便数据录入</w:t>
            </w:r>
          </w:p>
        </w:tc>
        <w:tc>
          <w:tcPr>
            <w:tcW w:w="758" w:type="pct"/>
            <w:noWrap w:val="0"/>
            <w:vAlign w:val="top"/>
          </w:tcPr>
          <w:p>
            <w:pPr>
              <w:jc w:val="both"/>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2.8</w:t>
            </w:r>
          </w:p>
        </w:tc>
        <w:tc>
          <w:tcPr>
            <w:tcW w:w="3816" w:type="pct"/>
            <w:noWrap w:val="0"/>
            <w:vAlign w:val="top"/>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sz w:val="24"/>
                <w:szCs w:val="24"/>
                <w:lang w:val="zh-CN" w:eastAsia="zh-CN"/>
              </w:rPr>
              <w:t>▲具备肺康复训练功能，双重训练模式，可调整训练阻抗，训练、检测结果可按照周/月/季形成历史趋势图表和相应简报，具备科研价值。</w:t>
            </w: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2.9</w:t>
            </w:r>
          </w:p>
        </w:tc>
        <w:tc>
          <w:tcPr>
            <w:tcW w:w="3816" w:type="pct"/>
            <w:noWrap w:val="0"/>
            <w:vAlign w:val="top"/>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sz w:val="24"/>
                <w:szCs w:val="24"/>
                <w:lang w:val="zh-CN" w:eastAsia="zh-CN"/>
              </w:rPr>
              <w:t>▲通过显示屏提供情景互动训练，可检测呼吸节奏和深度是否达到预定目标。</w:t>
            </w:r>
          </w:p>
        </w:tc>
        <w:tc>
          <w:tcPr>
            <w:tcW w:w="758" w:type="pct"/>
            <w:noWrap w:val="0"/>
            <w:vAlign w:val="top"/>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2.10 </w:t>
            </w:r>
          </w:p>
        </w:tc>
        <w:tc>
          <w:tcPr>
            <w:tcW w:w="3816" w:type="pct"/>
            <w:noWrap w:val="0"/>
            <w:vAlign w:val="top"/>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▲具备随访问卷模块：问卷评估类型包含三大类别，个人健康状态评估(个人信息及病史、PHQ-9、GAD-7)、慢阻肺评估（CCQ\mMRC\CAT、急性加重次数）哮喘评估（成人\儿童ACT评估），并能够对评估风险等级自动判定</w:t>
            </w:r>
          </w:p>
          <w:p>
            <w:pPr>
              <w:keepNext w:val="0"/>
              <w:keepLines w:val="0"/>
              <w:widowControl/>
              <w:suppressLineNumbers w:val="0"/>
              <w:jc w:val="both"/>
              <w:textAlignment w:val="center"/>
              <w:rPr>
                <w:rFonts w:hint="eastAsia" w:ascii="宋体" w:hAnsi="宋体" w:eastAsia="宋体" w:cs="宋体"/>
                <w:sz w:val="24"/>
                <w:szCs w:val="24"/>
              </w:rPr>
            </w:pPr>
          </w:p>
        </w:tc>
        <w:tc>
          <w:tcPr>
            <w:tcW w:w="758" w:type="pct"/>
            <w:noWrap w:val="0"/>
            <w:vAlign w:val="top"/>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2.11 </w:t>
            </w:r>
          </w:p>
        </w:tc>
        <w:tc>
          <w:tcPr>
            <w:tcW w:w="3816" w:type="pct"/>
            <w:noWrap w:val="0"/>
            <w:vAlign w:val="top"/>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▲远程管理：医生可通过慢性呼吸疾病辅助决策系统对肺功能检测仪账号下的患者情况统计、分析，报告打印，检测设备数据可实时上传至云端辅助决策系统，也可将云端医生账号下患者数据同步下载至设备端。</w:t>
            </w:r>
          </w:p>
          <w:p>
            <w:pPr>
              <w:keepNext w:val="0"/>
              <w:keepLines w:val="0"/>
              <w:widowControl/>
              <w:suppressLineNumbers w:val="0"/>
              <w:jc w:val="both"/>
              <w:textAlignment w:val="center"/>
              <w:rPr>
                <w:rFonts w:hint="eastAsia" w:ascii="宋体" w:hAnsi="宋体" w:eastAsia="宋体" w:cs="宋体"/>
                <w:sz w:val="24"/>
                <w:szCs w:val="24"/>
              </w:rPr>
            </w:pPr>
          </w:p>
        </w:tc>
        <w:tc>
          <w:tcPr>
            <w:tcW w:w="758" w:type="pct"/>
            <w:noWrap w:val="0"/>
            <w:vAlign w:val="top"/>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w:t>
            </w:r>
          </w:p>
        </w:tc>
        <w:tc>
          <w:tcPr>
            <w:tcW w:w="3816" w:type="pct"/>
            <w:noWrap w:val="0"/>
            <w:vAlign w:val="top"/>
          </w:tcPr>
          <w:p>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安装验收</w:t>
            </w: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3.1</w:t>
            </w:r>
          </w:p>
        </w:tc>
        <w:tc>
          <w:tcPr>
            <w:tcW w:w="3816" w:type="pct"/>
            <w:noWrap w:val="0"/>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安装地点：医院指定科室；</w:t>
            </w: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3.2</w:t>
            </w:r>
          </w:p>
        </w:tc>
        <w:tc>
          <w:tcPr>
            <w:tcW w:w="3816" w:type="pct"/>
            <w:noWrap w:val="0"/>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安装完成时间：合同签订后1个月内交货，接买方通知后3天内完成安装；</w:t>
            </w: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3.3</w:t>
            </w:r>
          </w:p>
        </w:tc>
        <w:tc>
          <w:tcPr>
            <w:tcW w:w="3816" w:type="pct"/>
            <w:noWrap w:val="0"/>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安装标准：符合我国国家有关技术规范和技术标准；</w:t>
            </w: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b/>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3.4</w:t>
            </w:r>
          </w:p>
        </w:tc>
        <w:tc>
          <w:tcPr>
            <w:tcW w:w="3816" w:type="pct"/>
            <w:noWrap w:val="0"/>
            <w:vAlign w:val="center"/>
          </w:tcPr>
          <w:p>
            <w:pPr>
              <w:keepNext w:val="0"/>
              <w:keepLines w:val="0"/>
              <w:widowControl/>
              <w:suppressLineNumbers w:val="0"/>
              <w:jc w:val="both"/>
              <w:textAlignment w:val="center"/>
              <w:rPr>
                <w:rFonts w:hint="eastAsia" w:ascii="宋体" w:hAnsi="宋体" w:eastAsia="宋体" w:cs="宋体"/>
                <w:b/>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验收标准：符合我国国家有关技术规范和技术标准。</w:t>
            </w: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3.5</w:t>
            </w:r>
          </w:p>
        </w:tc>
        <w:tc>
          <w:tcPr>
            <w:tcW w:w="3816" w:type="pct"/>
            <w:noWrap w:val="0"/>
            <w:vAlign w:val="center"/>
          </w:tcPr>
          <w:p>
            <w:pPr>
              <w:keepNext w:val="0"/>
              <w:keepLines w:val="0"/>
              <w:widowControl/>
              <w:suppressLineNumbers w:val="0"/>
              <w:jc w:val="both"/>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安装、验收合格前所产生的一切费用（包括卸货、搬运、必要时的安全性能检测费等）由供方负责提供。</w:t>
            </w: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四</w:t>
            </w:r>
          </w:p>
        </w:tc>
        <w:tc>
          <w:tcPr>
            <w:tcW w:w="3816" w:type="pct"/>
            <w:noWrap w:val="0"/>
            <w:vAlign w:val="top"/>
          </w:tcPr>
          <w:p>
            <w:pPr>
              <w:keepNext w:val="0"/>
              <w:keepLines w:val="0"/>
              <w:widowControl/>
              <w:suppressLineNumbers w:val="0"/>
              <w:jc w:val="both"/>
              <w:textAlignment w:val="top"/>
              <w:rPr>
                <w:rFonts w:hint="eastAsia" w:ascii="宋体" w:hAnsi="宋体" w:eastAsia="宋体" w:cs="宋体"/>
                <w:kern w:val="2"/>
                <w:sz w:val="24"/>
                <w:szCs w:val="24"/>
                <w:lang w:val="en-US" w:eastAsia="zh-CN" w:bidi="ar-SA"/>
              </w:rPr>
            </w:pPr>
            <w:r>
              <w:rPr>
                <w:rFonts w:hint="eastAsia" w:ascii="宋体" w:hAnsi="宋体" w:eastAsia="宋体" w:cs="宋体"/>
                <w:b/>
                <w:bCs/>
                <w:i w:val="0"/>
                <w:iCs w:val="0"/>
                <w:color w:val="000000"/>
                <w:kern w:val="0"/>
                <w:sz w:val="24"/>
                <w:szCs w:val="24"/>
                <w:u w:val="none"/>
                <w:lang w:val="en-US" w:eastAsia="zh-CN" w:bidi="ar"/>
              </w:rPr>
              <w:t>售后服务</w:t>
            </w: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4" w:type="pct"/>
            <w:noWrap w:val="0"/>
            <w:vAlign w:val="center"/>
          </w:tcPr>
          <w:p>
            <w:pPr>
              <w:keepNext w:val="0"/>
              <w:keepLines w:val="0"/>
              <w:widowControl/>
              <w:suppressLineNumbers w:val="0"/>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4.1</w:t>
            </w:r>
          </w:p>
        </w:tc>
        <w:tc>
          <w:tcPr>
            <w:tcW w:w="3816" w:type="pct"/>
            <w:noWrap w:val="0"/>
            <w:vAlign w:val="center"/>
          </w:tcPr>
          <w:p>
            <w:pPr>
              <w:keepNext w:val="0"/>
              <w:keepLines w:val="0"/>
              <w:widowControl/>
              <w:suppressLineNumbers w:val="0"/>
              <w:jc w:val="both"/>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免费保修：设备验收合格后保修≥3年，期间免一切维修费用；</w:t>
            </w: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五</w:t>
            </w:r>
          </w:p>
        </w:tc>
        <w:tc>
          <w:tcPr>
            <w:tcW w:w="3816" w:type="pct"/>
            <w:noWrap w:val="0"/>
            <w:vAlign w:val="top"/>
          </w:tcPr>
          <w:p>
            <w:pPr>
              <w:keepNext w:val="0"/>
              <w:keepLines w:val="0"/>
              <w:widowControl/>
              <w:suppressLineNumbers w:val="0"/>
              <w:jc w:val="both"/>
              <w:textAlignment w:val="top"/>
              <w:rPr>
                <w:rFonts w:hint="eastAsia" w:ascii="宋体" w:hAnsi="宋体" w:eastAsia="宋体" w:cs="宋体"/>
                <w:kern w:val="2"/>
                <w:sz w:val="24"/>
                <w:szCs w:val="24"/>
                <w:lang w:val="en-US" w:eastAsia="zh-CN" w:bidi="ar-SA"/>
              </w:rPr>
            </w:pPr>
            <w:r>
              <w:rPr>
                <w:rFonts w:hint="eastAsia" w:ascii="宋体" w:hAnsi="宋体" w:eastAsia="宋体" w:cs="宋体"/>
                <w:b/>
                <w:bCs/>
                <w:i w:val="0"/>
                <w:iCs w:val="0"/>
                <w:color w:val="000000"/>
                <w:kern w:val="0"/>
                <w:sz w:val="24"/>
                <w:szCs w:val="24"/>
                <w:u w:val="none"/>
                <w:lang w:val="en-US" w:eastAsia="zh-CN" w:bidi="ar"/>
              </w:rPr>
              <w:t>其他要求</w:t>
            </w: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5.1</w:t>
            </w:r>
          </w:p>
        </w:tc>
        <w:tc>
          <w:tcPr>
            <w:tcW w:w="3816" w:type="pct"/>
            <w:noWrap w:val="0"/>
            <w:vAlign w:val="top"/>
          </w:tcPr>
          <w:p>
            <w:pPr>
              <w:keepNext w:val="0"/>
              <w:keepLines w:val="0"/>
              <w:widowControl/>
              <w:suppressLineNumbers w:val="0"/>
              <w:jc w:val="both"/>
              <w:textAlignment w:val="top"/>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属于医疗器械管理范围的产品必须提供医疗器械注册证及注册登记表</w:t>
            </w: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b/>
                <w:sz w:val="24"/>
                <w:szCs w:val="24"/>
                <w:lang w:val="en-US" w:eastAsia="zh-CN"/>
              </w:rPr>
            </w:pPr>
            <w:r>
              <w:rPr>
                <w:rFonts w:hint="eastAsia" w:ascii="宋体" w:hAnsi="宋体" w:eastAsia="宋体" w:cs="宋体"/>
                <w:i w:val="0"/>
                <w:iCs w:val="0"/>
                <w:color w:val="000000"/>
                <w:kern w:val="0"/>
                <w:sz w:val="24"/>
                <w:szCs w:val="24"/>
                <w:u w:val="none"/>
                <w:lang w:val="en-US" w:eastAsia="zh-CN" w:bidi="ar"/>
              </w:rPr>
              <w:t>5.2</w:t>
            </w:r>
          </w:p>
        </w:tc>
        <w:tc>
          <w:tcPr>
            <w:tcW w:w="3816" w:type="pct"/>
            <w:noWrap w:val="0"/>
            <w:vAlign w:val="top"/>
          </w:tcPr>
          <w:p>
            <w:pPr>
              <w:keepNext w:val="0"/>
              <w:keepLines w:val="0"/>
              <w:widowControl/>
              <w:suppressLineNumbers w:val="0"/>
              <w:jc w:val="both"/>
              <w:textAlignment w:val="top"/>
              <w:rPr>
                <w:rFonts w:hint="eastAsia" w:ascii="宋体" w:hAnsi="宋体" w:eastAsia="宋体" w:cs="宋体"/>
                <w:b/>
                <w:sz w:val="24"/>
                <w:szCs w:val="24"/>
                <w:lang w:val="en-US" w:eastAsia="zh-CN"/>
              </w:rPr>
            </w:pPr>
            <w:r>
              <w:rPr>
                <w:rFonts w:hint="eastAsia" w:ascii="宋体" w:hAnsi="宋体" w:eastAsia="宋体" w:cs="宋体"/>
                <w:i w:val="0"/>
                <w:iCs w:val="0"/>
                <w:color w:val="000000"/>
                <w:kern w:val="0"/>
                <w:sz w:val="24"/>
                <w:szCs w:val="24"/>
                <w:u w:val="none"/>
                <w:lang w:val="en-US" w:eastAsia="zh-CN" w:bidi="ar"/>
              </w:rPr>
              <w:t>厂家承诺提供设备免费保修期（含消耗品、易损品、维修配件、人工服务等）≥ 3年。提供过保后年保价格</w:t>
            </w:r>
          </w:p>
        </w:tc>
        <w:tc>
          <w:tcPr>
            <w:tcW w:w="758" w:type="pct"/>
            <w:noWrap w:val="0"/>
            <w:vAlign w:val="center"/>
          </w:tcPr>
          <w:p>
            <w:pP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5.3</w:t>
            </w:r>
          </w:p>
        </w:tc>
        <w:tc>
          <w:tcPr>
            <w:tcW w:w="3816" w:type="pct"/>
            <w:noWrap w:val="0"/>
            <w:vAlign w:val="top"/>
          </w:tcPr>
          <w:p>
            <w:pPr>
              <w:keepNext w:val="0"/>
              <w:keepLines w:val="0"/>
              <w:widowControl/>
              <w:suppressLineNumbers w:val="0"/>
              <w:jc w:val="both"/>
              <w:textAlignment w:val="top"/>
              <w:rPr>
                <w:rFonts w:hint="eastAsia" w:ascii="宋体" w:hAnsi="宋体" w:eastAsia="宋体" w:cs="宋体"/>
                <w:b/>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操作手册、维修手册：提供操作手册、维修手册各一套</w:t>
            </w: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5.4</w:t>
            </w:r>
          </w:p>
        </w:tc>
        <w:tc>
          <w:tcPr>
            <w:tcW w:w="3816" w:type="pct"/>
            <w:noWrap w:val="0"/>
            <w:vAlign w:val="top"/>
          </w:tcPr>
          <w:p>
            <w:pPr>
              <w:keepNext w:val="0"/>
              <w:keepLines w:val="0"/>
              <w:widowControl/>
              <w:suppressLineNumbers w:val="0"/>
              <w:jc w:val="both"/>
              <w:textAlignment w:val="top"/>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培训：提供临床应用操作培训,并提供临床资料(培训ppt、考核试题)</w:t>
            </w: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5.5</w:t>
            </w:r>
          </w:p>
        </w:tc>
        <w:tc>
          <w:tcPr>
            <w:tcW w:w="3816" w:type="pct"/>
            <w:noWrap w:val="0"/>
            <w:vAlign w:val="top"/>
          </w:tcPr>
          <w:p>
            <w:pPr>
              <w:keepNext w:val="0"/>
              <w:keepLines w:val="0"/>
              <w:widowControl/>
              <w:suppressLineNumbers w:val="0"/>
              <w:jc w:val="both"/>
              <w:textAlignment w:val="top"/>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软件终身免费升级</w:t>
            </w: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5.6</w:t>
            </w:r>
          </w:p>
        </w:tc>
        <w:tc>
          <w:tcPr>
            <w:tcW w:w="3816" w:type="pct"/>
            <w:noWrap w:val="0"/>
            <w:vAlign w:val="top"/>
          </w:tcPr>
          <w:p>
            <w:pPr>
              <w:keepNext w:val="0"/>
              <w:keepLines w:val="0"/>
              <w:widowControl/>
              <w:suppressLineNumbers w:val="0"/>
              <w:jc w:val="both"/>
              <w:textAlignment w:val="top"/>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付款方式:验收合格后90工作日内付款，投标商开具单张发票限额必须大于投标单台设备价格</w:t>
            </w: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5.7</w:t>
            </w:r>
          </w:p>
        </w:tc>
        <w:tc>
          <w:tcPr>
            <w:tcW w:w="3816" w:type="pct"/>
            <w:noWrap w:val="0"/>
            <w:vAlign w:val="top"/>
          </w:tcPr>
          <w:p>
            <w:pPr>
              <w:keepNext w:val="0"/>
              <w:keepLines w:val="0"/>
              <w:widowControl/>
              <w:suppressLineNumbers w:val="0"/>
              <w:jc w:val="both"/>
              <w:textAlignment w:val="top"/>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投标商提供的设备必须在距投标当日10个月内生产</w:t>
            </w: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5.8</w:t>
            </w:r>
          </w:p>
        </w:tc>
        <w:tc>
          <w:tcPr>
            <w:tcW w:w="3816" w:type="pct"/>
            <w:noWrap w:val="0"/>
            <w:vAlign w:val="top"/>
          </w:tcPr>
          <w:p>
            <w:pPr>
              <w:keepNext w:val="0"/>
              <w:keepLines w:val="0"/>
              <w:widowControl/>
              <w:suppressLineNumbers w:val="0"/>
              <w:jc w:val="left"/>
              <w:textAlignment w:val="top"/>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其它优惠条款</w:t>
            </w:r>
          </w:p>
        </w:tc>
        <w:tc>
          <w:tcPr>
            <w:tcW w:w="758" w:type="pct"/>
            <w:noWrap w:val="0"/>
            <w:vAlign w:val="top"/>
          </w:tcPr>
          <w:p>
            <w:pPr>
              <w:jc w:val="center"/>
              <w:rPr>
                <w:rFonts w:hint="eastAsia" w:ascii="宋体" w:hAnsi="宋体" w:eastAsia="宋体" w:cs="宋体"/>
                <w:kern w:val="0"/>
                <w:sz w:val="24"/>
                <w:szCs w:val="24"/>
              </w:rPr>
            </w:pPr>
          </w:p>
        </w:tc>
      </w:tr>
    </w:tbl>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3"/>
          <w:rFonts w:hint="eastAsia" w:asciiTheme="minorEastAsia" w:hAnsiTheme="minorEastAsia" w:eastAsiaTheme="minorEastAsia" w:cstheme="minorEastAsia"/>
          <w:b/>
          <w:bCs/>
          <w:kern w:val="2"/>
          <w:sz w:val="32"/>
          <w:szCs w:val="32"/>
          <w:lang w:val="en-US" w:eastAsia="zh-CN" w:bidi="ar-SA"/>
        </w:rPr>
      </w:pPr>
      <w:r>
        <w:rPr>
          <w:rStyle w:val="13"/>
          <w:rFonts w:hint="eastAsia" w:asciiTheme="minorEastAsia" w:hAnsiTheme="minorEastAsia" w:eastAsiaTheme="minorEastAsia" w:cstheme="minorEastAsia"/>
          <w:b/>
          <w:bCs/>
          <w:kern w:val="2"/>
          <w:sz w:val="32"/>
          <w:szCs w:val="32"/>
          <w:lang w:val="en-US" w:eastAsia="zh-CN" w:bidi="ar-SA"/>
        </w:rPr>
        <w:t>评分细则</w:t>
      </w:r>
    </w:p>
    <w:p>
      <w:pPr>
        <w:spacing w:line="360" w:lineRule="auto"/>
        <w:ind w:firstLine="457" w:firstLineChars="196"/>
        <w:rPr>
          <w:rStyle w:val="13"/>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tbl>
      <w:tblPr>
        <w:tblStyle w:val="10"/>
        <w:tblW w:w="93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639"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4945"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对应于招标文件设备技术规格及配置的偏离度</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招标文件第四部分招标内容及要求的设备技术规格及配置对比，实质性条款除外，标注★的技术指标（或功能）偏离每项扣4分，一般技术指标偏离每项扣1分，一般功能偏离每项扣3分，商务要求偏离每项扣3分。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投标设备配套的合理性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投标设备技术指标的先进性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投标机型的档次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运行成本</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保修服务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设备保修期超过招标文件要求的，每增加1年加1分，增加部分不足1年的不计分。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投标产品总体质量性能</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市场占有率</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提供20</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年1月1日起至今与最终用户签订的投标机型合同复印件，每份有效合同得0.5分，最多5分。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制造商或代理商的售后服务和维修能力，服务响应速度、服务人员水平、备品备件配置等综合评价。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投标人提供的超出招标文件的优惠条件</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评委对投标文件中是否有超出招标文件的优惠条件进行评议，没有实质性优惠条件得0分；有优惠条件的，根据优惠内容市场价值及实用性大小评分。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0" w:hRule="atLeast"/>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环境标志产品、节能产品评审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产品列入财政部、发展改革委发布的节能产品品目清单的，提供国家市场监督管理总局公布的《参与实施政府采购节能产品认证机构名录》内的认证机构出具的、处于有效期之内的节能标志产品认证证书的，得1分。</w:t>
            </w:r>
          </w:p>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产品列入财政部、生态环境部发布的环境标志产品品目清单的，提供国家市场监督管理总局公布的《参与实施政府采购环境标志产品认证机构名录》内的认证机构出具的、处于有效期之内的环境标志产品认证证书，得1分。</w:t>
            </w:r>
          </w:p>
        </w:tc>
      </w:tr>
    </w:tbl>
    <w:p>
      <w:pPr>
        <w:spacing w:before="120" w:beforeLines="50" w:after="120" w:afterLines="50"/>
        <w:ind w:firstLine="457" w:firstLineChars="196"/>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spacing w:val="-4"/>
          <w:sz w:val="24"/>
          <w:szCs w:val="24"/>
        </w:rPr>
        <w:t>2、</w:t>
      </w:r>
      <w:r>
        <w:rPr>
          <w:rFonts w:hint="eastAsia" w:asciiTheme="minorEastAsia" w:hAnsiTheme="minorEastAsia" w:eastAsiaTheme="minorEastAsia" w:cstheme="minorEastAsia"/>
          <w:b/>
          <w:bCs/>
          <w:spacing w:val="-4"/>
          <w:sz w:val="24"/>
          <w:szCs w:val="24"/>
        </w:rPr>
        <w:t>价格分（0-35分）</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4"/>
          <w:szCs w:val="24"/>
        </w:rPr>
      </w:pPr>
      <w:r>
        <w:rPr>
          <w:rFonts w:hint="eastAsia" w:asciiTheme="minorEastAsia" w:hAnsiTheme="minorEastAsia" w:eastAsiaTheme="minorEastAsia" w:cstheme="minorEastAsia"/>
          <w:bCs/>
          <w:spacing w:val="-4"/>
          <w:sz w:val="24"/>
          <w:szCs w:val="24"/>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价格分=（评标基准价/</w:t>
      </w:r>
      <w:r>
        <w:rPr>
          <w:rFonts w:hint="eastAsia" w:asciiTheme="minorEastAsia" w:hAnsiTheme="minorEastAsia" w:eastAsiaTheme="minorEastAsia" w:cstheme="minorEastAsia"/>
          <w:bCs/>
          <w:spacing w:val="-4"/>
          <w:sz w:val="24"/>
          <w:szCs w:val="24"/>
        </w:rPr>
        <w:t>投标报价</w:t>
      </w:r>
      <w:r>
        <w:rPr>
          <w:rFonts w:hint="eastAsia" w:asciiTheme="minorEastAsia" w:hAnsiTheme="minorEastAsia" w:eastAsiaTheme="minorEastAsia" w:cstheme="minorEastAsia"/>
          <w:sz w:val="24"/>
          <w:szCs w:val="24"/>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sz w:val="24"/>
          <w:szCs w:val="24"/>
        </w:rPr>
        <w:t>投标人的综合得分为以上商务技术分及价格分之和</w:t>
      </w:r>
      <w:r>
        <w:rPr>
          <w:sz w:val="24"/>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numPr>
          <w:ilvl w:val="0"/>
          <w:numId w:val="0"/>
        </w:numPr>
        <w:jc w:val="left"/>
        <w:rPr>
          <w:rFonts w:hint="eastAsia"/>
          <w:b/>
          <w:bCs/>
          <w:sz w:val="24"/>
          <w:lang w:val="en-US" w:eastAsia="zh-CN"/>
        </w:rPr>
      </w:pPr>
    </w:p>
    <w:p>
      <w:pPr>
        <w:pStyle w:val="8"/>
        <w:keepNext w:val="0"/>
        <w:keepLines w:val="0"/>
        <w:widowControl/>
        <w:numPr>
          <w:ilvl w:val="0"/>
          <w:numId w:val="0"/>
        </w:numPr>
        <w:suppressLineNumbers w:val="0"/>
        <w:spacing w:before="255" w:beforeAutospacing="0" w:after="255" w:afterAutospacing="0" w:line="300" w:lineRule="atLeast"/>
        <w:ind w:leftChars="0" w:right="0" w:rightChars="0"/>
        <w:jc w:val="both"/>
        <w:rPr>
          <w:rStyle w:val="13"/>
          <w:rFonts w:hint="default" w:eastAsia="宋体" w:asciiTheme="minorEastAsia" w:hAnsiTheme="minorEastAsia" w:cstheme="minorEastAsia"/>
          <w:b/>
          <w:bCs/>
          <w:kern w:val="2"/>
          <w:sz w:val="32"/>
          <w:szCs w:val="32"/>
          <w:lang w:val="en-US" w:eastAsia="zh-CN" w:bidi="ar-SA"/>
        </w:rPr>
      </w:pPr>
      <w:r>
        <w:rPr>
          <w:rStyle w:val="13"/>
          <w:rFonts w:hint="eastAsia" w:eastAsia="宋体" w:asciiTheme="minorEastAsia" w:hAnsiTheme="minorEastAsia" w:cstheme="minorEastAsia"/>
          <w:b/>
          <w:bCs/>
          <w:kern w:val="2"/>
          <w:sz w:val="32"/>
          <w:szCs w:val="32"/>
          <w:lang w:val="en-US" w:eastAsia="zh-CN" w:bidi="ar-SA"/>
        </w:rPr>
        <w:t>九、我院正式合同版本</w:t>
      </w:r>
    </w:p>
    <w:p>
      <w:pPr>
        <w:pStyle w:val="9"/>
        <w:rPr>
          <w:rFonts w:hint="eastAsia"/>
          <w:sz w:val="30"/>
          <w:szCs w:val="30"/>
        </w:rPr>
      </w:pPr>
    </w:p>
    <w:p>
      <w:pPr>
        <w:pStyle w:val="9"/>
        <w:rPr>
          <w:sz w:val="44"/>
        </w:rPr>
      </w:pPr>
      <w:r>
        <w:rPr>
          <w:rFonts w:hint="eastAsia"/>
          <w:sz w:val="30"/>
          <w:szCs w:val="30"/>
        </w:rPr>
        <w:t>温州市中医院医疗设备采购合同</w:t>
      </w:r>
    </w:p>
    <w:p>
      <w:pPr>
        <w:rPr>
          <w:w w:val="95"/>
        </w:rPr>
      </w:pPr>
      <w:r>
        <w:rPr>
          <w:rFonts w:hint="eastAsia"/>
          <w:w w:val="95"/>
        </w:rPr>
        <w:t xml:space="preserve">                                          </w:t>
      </w:r>
      <w:r>
        <w:rPr>
          <w:rFonts w:hint="eastAsia" w:asciiTheme="minorEastAsia" w:hAnsiTheme="minorEastAsia" w:eastAsiaTheme="minorEastAsia" w:cstheme="minorEastAsia"/>
          <w:color w:val="000000" w:themeColor="text1"/>
          <w:kern w:val="0"/>
          <w:sz w:val="24"/>
          <w:szCs w:val="24"/>
          <w:lang w:val="zh-CN" w:eastAsia="zh-CN" w:bidi="zh-CN"/>
          <w14:textFill>
            <w14:solidFill>
              <w14:schemeClr w14:val="tx1"/>
            </w14:solidFill>
          </w14:textFill>
        </w:rPr>
        <w:t>合同编号：</w:t>
      </w:r>
      <w:r>
        <w:rPr>
          <w:rFonts w:hint="eastAsia"/>
          <w:w w:val="95"/>
        </w:rPr>
        <w:t xml:space="preserve">          </w:t>
      </w:r>
    </w:p>
    <w:p>
      <w:pPr>
        <w:spacing w:before="107" w:line="220" w:lineRule="atLeast"/>
        <w:ind w:left="1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甲方（采购单位）：温州市中医院</w:t>
      </w:r>
    </w:p>
    <w:p>
      <w:pPr>
        <w:spacing w:before="107" w:line="220" w:lineRule="atLeast"/>
        <w:ind w:left="1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乙方（供应商）： </w:t>
      </w:r>
    </w:p>
    <w:p>
      <w:pPr>
        <w:pStyle w:val="3"/>
        <w:spacing w:before="106"/>
        <w:ind w:left="111" w:right="209" w:firstLine="600" w:firstLineChars="25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根据《中华人民共</w:t>
      </w:r>
      <w:r>
        <w:rPr>
          <w:rFonts w:hint="eastAsia" w:asciiTheme="minorEastAsia" w:hAnsiTheme="minorEastAsia" w:eastAsiaTheme="minorEastAsia" w:cstheme="minorEastAsia"/>
          <w:color w:val="000000" w:themeColor="text1"/>
          <w:sz w:val="24"/>
          <w:szCs w:val="24"/>
          <w14:textFill>
            <w14:solidFill>
              <w14:schemeClr w14:val="tx1"/>
            </w14:solidFill>
          </w14:textFill>
        </w:rPr>
        <w:t>和国政府采购法》、《中华人民共和国民法典》等相关法律法规，以及</w:t>
      </w:r>
      <w:r>
        <w:rPr>
          <w:rFonts w:hint="eastAsia" w:asciiTheme="minorEastAsia" w:hAnsiTheme="minorEastAsia" w:eastAsiaTheme="minorEastAsia" w:cstheme="minorEastAsia"/>
          <w:color w:val="000000" w:themeColor="text1"/>
          <w:sz w:val="24"/>
          <w:szCs w:val="24"/>
          <w:u w:val="single"/>
          <w:lang w:val="en-US"/>
          <w14:textFill>
            <w14:solidFill>
              <w14:schemeClr w14:val="tx1"/>
            </w14:solidFill>
          </w14:textFill>
        </w:rPr>
        <w:t>(招标编号)</w:t>
      </w:r>
      <w:r>
        <w:rPr>
          <w:rFonts w:hint="eastAsia" w:asciiTheme="minorEastAsia" w:hAnsiTheme="minorEastAsia" w:eastAsiaTheme="minorEastAsia" w:cstheme="minorEastAsia"/>
          <w:color w:val="000000" w:themeColor="text1"/>
          <w:w w:val="95"/>
          <w:sz w:val="24"/>
          <w:szCs w:val="24"/>
          <w14:textFill>
            <w14:solidFill>
              <w14:schemeClr w14:val="tx1"/>
            </w14:solidFill>
          </w14:textFill>
        </w:rPr>
        <w:t>项</w:t>
      </w:r>
      <w:r>
        <w:rPr>
          <w:rFonts w:hint="eastAsia" w:asciiTheme="minorEastAsia" w:hAnsiTheme="minorEastAsia" w:eastAsiaTheme="minorEastAsia" w:cstheme="minorEastAsia"/>
          <w:color w:val="000000" w:themeColor="text1"/>
          <w:sz w:val="24"/>
          <w:szCs w:val="24"/>
          <w14:textFill>
            <w14:solidFill>
              <w14:schemeClr w14:val="tx1"/>
            </w14:solidFill>
          </w14:textFill>
        </w:rPr>
        <w:t>目（以下简称“项目”）招标文件、中标供应商投标文件、项目采购协议，或入围承诺书，甲乙双方经协商一致，签署本合同。</w:t>
      </w:r>
    </w:p>
    <w:p>
      <w:pPr>
        <w:pStyle w:val="4"/>
        <w:numPr>
          <w:ilvl w:val="0"/>
          <w:numId w:val="3"/>
        </w:numPr>
        <w:spacing w:before="84" w:after="1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货物内容及合同价格</w:t>
      </w:r>
    </w:p>
    <w:tbl>
      <w:tblPr>
        <w:tblStyle w:val="10"/>
        <w:tblW w:w="8364"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4"/>
        <w:gridCol w:w="1418"/>
        <w:gridCol w:w="1559"/>
        <w:gridCol w:w="2126"/>
        <w:gridCol w:w="993"/>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trPr>
        <w:tc>
          <w:tcPr>
            <w:tcW w:w="1134" w:type="dxa"/>
            <w:vAlign w:val="center"/>
          </w:tcPr>
          <w:p>
            <w:pPr>
              <w:pStyle w:val="17"/>
              <w:spacing w:before="11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货物名称</w:t>
            </w:r>
          </w:p>
        </w:tc>
        <w:tc>
          <w:tcPr>
            <w:tcW w:w="1418" w:type="dxa"/>
            <w:vAlign w:val="center"/>
          </w:tcPr>
          <w:p>
            <w:pPr>
              <w:pStyle w:val="17"/>
              <w:spacing w:before="116"/>
              <w:ind w:right="27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品牌</w:t>
            </w:r>
          </w:p>
        </w:tc>
        <w:tc>
          <w:tcPr>
            <w:tcW w:w="1559" w:type="dxa"/>
            <w:vAlign w:val="center"/>
          </w:tcPr>
          <w:p>
            <w:pPr>
              <w:pStyle w:val="17"/>
              <w:spacing w:before="116"/>
              <w:ind w:left="287" w:right="27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型号规格</w:t>
            </w:r>
          </w:p>
        </w:tc>
        <w:tc>
          <w:tcPr>
            <w:tcW w:w="2126" w:type="dxa"/>
            <w:vAlign w:val="center"/>
          </w:tcPr>
          <w:p>
            <w:pPr>
              <w:pStyle w:val="17"/>
              <w:spacing w:before="116"/>
              <w:ind w:left="71" w:right="61"/>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配置要求</w:t>
            </w:r>
          </w:p>
        </w:tc>
        <w:tc>
          <w:tcPr>
            <w:tcW w:w="993" w:type="dxa"/>
            <w:vAlign w:val="center"/>
          </w:tcPr>
          <w:p>
            <w:pPr>
              <w:pStyle w:val="17"/>
              <w:spacing w:before="116"/>
              <w:ind w:left="71" w:right="61"/>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数量</w:t>
            </w:r>
          </w:p>
        </w:tc>
        <w:tc>
          <w:tcPr>
            <w:tcW w:w="1134" w:type="dxa"/>
            <w:vAlign w:val="center"/>
          </w:tcPr>
          <w:p>
            <w:pPr>
              <w:pStyle w:val="17"/>
              <w:spacing w:before="116"/>
              <w:ind w:left="71" w:right="62"/>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trPr>
        <w:tc>
          <w:tcPr>
            <w:tcW w:w="1134" w:type="dxa"/>
            <w:vAlign w:val="center"/>
          </w:tcPr>
          <w:p>
            <w:pPr>
              <w:pStyle w:val="17"/>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418" w:type="dxa"/>
            <w:vAlign w:val="center"/>
          </w:tcPr>
          <w:p>
            <w:pPr>
              <w:pStyle w:val="17"/>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559" w:type="dxa"/>
            <w:vAlign w:val="center"/>
          </w:tcPr>
          <w:p>
            <w:pPr>
              <w:pStyle w:val="17"/>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2126" w:type="dxa"/>
            <w:vAlign w:val="center"/>
          </w:tcPr>
          <w:p>
            <w:pPr>
              <w:pStyle w:val="17"/>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993" w:type="dxa"/>
            <w:vAlign w:val="center"/>
          </w:tcPr>
          <w:p>
            <w:pPr>
              <w:pStyle w:val="17"/>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34" w:type="dxa"/>
            <w:vAlign w:val="center"/>
          </w:tcPr>
          <w:p>
            <w:pPr>
              <w:pStyle w:val="17"/>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trPr>
        <w:tc>
          <w:tcPr>
            <w:tcW w:w="1134" w:type="dxa"/>
            <w:vAlign w:val="center"/>
          </w:tcPr>
          <w:p>
            <w:pPr>
              <w:pStyle w:val="17"/>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418" w:type="dxa"/>
            <w:vAlign w:val="center"/>
          </w:tcPr>
          <w:p>
            <w:pPr>
              <w:pStyle w:val="17"/>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559" w:type="dxa"/>
            <w:vAlign w:val="center"/>
          </w:tcPr>
          <w:p>
            <w:pPr>
              <w:pStyle w:val="17"/>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2126" w:type="dxa"/>
            <w:vAlign w:val="center"/>
          </w:tcPr>
          <w:p>
            <w:pPr>
              <w:pStyle w:val="17"/>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993" w:type="dxa"/>
            <w:vAlign w:val="center"/>
          </w:tcPr>
          <w:p>
            <w:pPr>
              <w:pStyle w:val="17"/>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34" w:type="dxa"/>
            <w:vAlign w:val="center"/>
          </w:tcPr>
          <w:p>
            <w:pPr>
              <w:pStyle w:val="17"/>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8364" w:type="dxa"/>
            <w:gridSpan w:val="6"/>
          </w:tcPr>
          <w:p>
            <w:pPr>
              <w:pStyle w:val="17"/>
              <w:spacing w:before="116"/>
              <w:ind w:firstLine="1920" w:firstLineChars="8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合同总价大写</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                           小写：￥</w:t>
            </w:r>
          </w:p>
        </w:tc>
      </w:tr>
    </w:tbl>
    <w:p>
      <w:pPr>
        <w:ind w:right="1636"/>
        <w:jc w:val="righ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金额单位：元</w:t>
      </w:r>
    </w:p>
    <w:p>
      <w:pPr>
        <w:pStyle w:val="3"/>
        <w:spacing w:line="0" w:lineRule="atLeast"/>
        <w:ind w:right="21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注：1、商品型号、数量、配置要求及使用单位地址等详见附件清单</w:t>
      </w:r>
    </w:p>
    <w:p>
      <w:pPr>
        <w:pStyle w:val="3"/>
        <w:spacing w:line="0" w:lineRule="atLeast"/>
        <w:ind w:left="105" w:right="21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2、以上合同总价包含货物到达用户并能正常使用所需的一切费用，包括但不限于包装费、运输费、装卸费、保险费、安装调试费、技术服务费、培训费以及保修费、税费等。</w:t>
      </w:r>
    </w:p>
    <w:p>
      <w:pPr>
        <w:pStyle w:val="4"/>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二、技术资料</w:t>
      </w:r>
    </w:p>
    <w:p>
      <w:pPr>
        <w:pStyle w:val="18"/>
        <w:numPr>
          <w:ilvl w:val="0"/>
          <w:numId w:val="4"/>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乙方应按招标文件规定的时间向甲方提供使用货物的有关技术资料。</w:t>
      </w:r>
    </w:p>
    <w:p>
      <w:pPr>
        <w:pStyle w:val="18"/>
        <w:numPr>
          <w:ilvl w:val="0"/>
          <w:numId w:val="4"/>
        </w:numPr>
        <w:tabs>
          <w:tab w:val="left" w:pos="522"/>
        </w:tabs>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4"/>
        <w:spacing w:before="8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三、知识产权</w:t>
      </w:r>
    </w:p>
    <w:p>
      <w:pPr>
        <w:pStyle w:val="3"/>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乙方应保证所提供的货物或其任何一部分均不会侵犯任何第三方的知识产权。</w:t>
      </w:r>
    </w:p>
    <w:p>
      <w:pPr>
        <w:pStyle w:val="4"/>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四、产权担保</w:t>
      </w:r>
    </w:p>
    <w:p>
      <w:pPr>
        <w:pStyle w:val="3"/>
        <w:spacing w:before="23"/>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乙方保证所交付的货物的所有权完全属于乙方且无任何抵押、查封等产权瑕疵。</w:t>
      </w:r>
    </w:p>
    <w:p>
      <w:pPr>
        <w:pStyle w:val="4"/>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五、转包或分包</w:t>
      </w:r>
    </w:p>
    <w:p>
      <w:pPr>
        <w:pStyle w:val="3"/>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本合同范围的货物，应由乙方直接供应，不得转让他人供应，否则，甲方有权解除合同，没收质量保证金并追究乙方的违约责任。</w:t>
      </w:r>
    </w:p>
    <w:p>
      <w:pPr>
        <w:pStyle w:val="4"/>
        <w:spacing w:before="10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六、质保期和质保金</w:t>
      </w:r>
    </w:p>
    <w:p>
      <w:pPr>
        <w:pStyle w:val="18"/>
        <w:numPr>
          <w:ilvl w:val="0"/>
          <w:numId w:val="5"/>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质保期为</w:t>
      </w:r>
      <w:r>
        <w:rPr>
          <w:rFonts w:hint="eastAsia" w:asciiTheme="minorEastAsia" w:hAnsiTheme="minorEastAsia" w:eastAsiaTheme="minorEastAsia" w:cstheme="minorEastAsia"/>
          <w:color w:val="000000" w:themeColor="text1"/>
          <w:spacing w:val="-6"/>
          <w:sz w:val="24"/>
          <w:szCs w:val="24"/>
          <w:u w:val="single"/>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lang w:val="en-US"/>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14:textFill>
            <w14:solidFill>
              <w14:schemeClr w14:val="tx1"/>
            </w14:solidFill>
          </w14:textFill>
        </w:rPr>
        <w:t>。（自交货验收合格之日起计）</w:t>
      </w:r>
    </w:p>
    <w:p>
      <w:pPr>
        <w:pStyle w:val="18"/>
        <w:numPr>
          <w:ilvl w:val="0"/>
          <w:numId w:val="5"/>
        </w:numPr>
        <w:tabs>
          <w:tab w:val="left" w:pos="522"/>
          <w:tab w:val="left" w:pos="1347"/>
        </w:tabs>
        <w:spacing w:before="7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质保金</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0</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元。</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质量保证金于合同签订后</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 xml:space="preserve">    日内</w:t>
      </w:r>
      <w:r>
        <w:rPr>
          <w:rFonts w:hint="eastAsia" w:asciiTheme="minorEastAsia" w:hAnsiTheme="minorEastAsia" w:eastAsiaTheme="minorEastAsia" w:cstheme="minorEastAsia"/>
          <w:color w:val="000000" w:themeColor="text1"/>
          <w:sz w:val="24"/>
          <w:szCs w:val="24"/>
          <w14:textFill>
            <w14:solidFill>
              <w14:schemeClr w14:val="tx1"/>
            </w14:solidFill>
          </w14:textFill>
        </w:rPr>
        <w:t>交给采购单位，在合同约定交货验收合格满（</w:t>
      </w:r>
      <w:r>
        <w:rPr>
          <w:rFonts w:hint="eastAsia" w:asciiTheme="minorEastAsia" w:hAnsiTheme="minorEastAsia" w:eastAsiaTheme="minorEastAsia" w:cstheme="minorEastAsia"/>
          <w:color w:val="000000" w:themeColor="text1"/>
          <w:spacing w:val="-28"/>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8"/>
          <w:sz w:val="24"/>
          <w:szCs w:val="24"/>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）个月之日起</w:t>
      </w:r>
      <w:r>
        <w:rPr>
          <w:rFonts w:hint="eastAsia" w:asciiTheme="minorEastAsia" w:hAnsiTheme="minorEastAsia" w:eastAsiaTheme="minorEastAsia" w:cstheme="minorEastAsia"/>
          <w:color w:val="000000" w:themeColor="text1"/>
          <w:spacing w:val="-28"/>
          <w:sz w:val="24"/>
          <w:szCs w:val="24"/>
          <w:lang w:val="en-US"/>
          <w14:textFill>
            <w14:solidFill>
              <w14:schemeClr w14:val="tx1"/>
            </w14:solidFill>
          </w14:textFill>
        </w:rPr>
        <w:t xml:space="preserve"> 5 </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个工作日内无息退还]</w:t>
      </w:r>
    </w:p>
    <w:p>
      <w:pPr>
        <w:pStyle w:val="4"/>
        <w:spacing w:before="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七、交货期、交货方式及交货地点</w:t>
      </w:r>
    </w:p>
    <w:p>
      <w:pPr>
        <w:pStyle w:val="18"/>
        <w:numPr>
          <w:ilvl w:val="0"/>
          <w:numId w:val="6"/>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交货期：合同签订后</w:t>
      </w:r>
      <w:r>
        <w:rPr>
          <w:rFonts w:hint="eastAsia" w:asciiTheme="minorEastAsia" w:hAnsiTheme="minorEastAsia" w:eastAsiaTheme="minorEastAsia" w:cstheme="minorEastAsia"/>
          <w:color w:val="000000" w:themeColor="text1"/>
          <w:spacing w:val="-3"/>
          <w:sz w:val="24"/>
          <w:szCs w:val="24"/>
          <w:lang w:val="en-US"/>
          <w14:textFill>
            <w14:solidFill>
              <w14:schemeClr w14:val="tx1"/>
            </w14:solidFill>
          </w14:textFill>
        </w:rPr>
        <w:t xml:space="preserve"> 60 </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w:t>
      </w:r>
    </w:p>
    <w:p>
      <w:pPr>
        <w:pStyle w:val="18"/>
        <w:numPr>
          <w:ilvl w:val="0"/>
          <w:numId w:val="6"/>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交货方式： 按甲方指定地点</w:t>
      </w:r>
      <w:r>
        <w:rPr>
          <w:rFonts w:hint="eastAsia" w:asciiTheme="minorEastAsia" w:hAnsiTheme="minorEastAsia" w:eastAsiaTheme="minorEastAsia" w:cstheme="minorEastAsia"/>
          <w:color w:val="000000" w:themeColor="text1"/>
          <w:sz w:val="24"/>
          <w:szCs w:val="24"/>
          <w14:textFill>
            <w14:solidFill>
              <w14:schemeClr w14:val="tx1"/>
            </w14:solidFill>
          </w14:textFill>
        </w:rPr>
        <w:t>送货上门</w:t>
      </w:r>
    </w:p>
    <w:p>
      <w:pPr>
        <w:pStyle w:val="18"/>
        <w:numPr>
          <w:ilvl w:val="0"/>
          <w:numId w:val="6"/>
        </w:numPr>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1"/>
          <w:sz w:val="24"/>
          <w:szCs w:val="24"/>
          <w14:textFill>
            <w14:solidFill>
              <w14:schemeClr w14:val="tx1"/>
            </w14:solidFill>
          </w14:textFill>
        </w:rPr>
        <w:t xml:space="preserve">交货地点： </w:t>
      </w:r>
      <w:r>
        <w:rPr>
          <w:rFonts w:hint="eastAsia" w:asciiTheme="minorEastAsia" w:hAnsiTheme="minorEastAsia" w:eastAsiaTheme="minorEastAsia" w:cstheme="minorEastAsia"/>
          <w:color w:val="000000" w:themeColor="text1"/>
          <w:sz w:val="24"/>
          <w:szCs w:val="24"/>
          <w14:textFill>
            <w14:solidFill>
              <w14:schemeClr w14:val="tx1"/>
            </w14:solidFill>
          </w14:textFill>
        </w:rPr>
        <w:t>浙江省温州市鹿城区南汇街道六虹桥路蛟尾路9号</w:t>
      </w:r>
    </w:p>
    <w:p>
      <w:pPr>
        <w:tabs>
          <w:tab w:val="left" w:pos="522"/>
        </w:tabs>
        <w:ind w:left="105" w:right="548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pacing w:val="10"/>
          <w:sz w:val="24"/>
          <w:szCs w:val="24"/>
          <w14:textFill>
            <w14:solidFill>
              <w14:schemeClr w14:val="tx1"/>
            </w14:solidFill>
          </w14:textFill>
        </w:rPr>
        <w:t>八、</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货款支付</w:t>
      </w:r>
    </w:p>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甲方按以下第1种方式支付乙方合同价款。</w:t>
      </w:r>
    </w:p>
    <w:p>
      <w:pPr>
        <w:pStyle w:val="3"/>
        <w:spacing w:before="21"/>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1、一次性支付：</w:t>
      </w:r>
    </w:p>
    <w:p>
      <w:pPr>
        <w:pStyle w:val="3"/>
        <w:tabs>
          <w:tab w:val="left" w:pos="4877"/>
        </w:tabs>
        <w:spacing w:before="71"/>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本合同项下的全部货物安装调试完毕并经最终验收合格后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90</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个工作日内，甲方向乙方支付全部合同价款。</w:t>
      </w:r>
    </w:p>
    <w:p>
      <w:pPr>
        <w:pStyle w:val="3"/>
        <w:spacing w:before="69"/>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2、分期支付：</w:t>
      </w:r>
    </w:p>
    <w:p>
      <w:pPr>
        <w:pStyle w:val="18"/>
        <w:numPr>
          <w:ilvl w:val="0"/>
          <w:numId w:val="7"/>
        </w:numPr>
        <w:tabs>
          <w:tab w:val="left" w:pos="797"/>
          <w:tab w:val="left" w:pos="2800"/>
          <w:tab w:val="left" w:pos="5814"/>
          <w:tab w:val="left" w:pos="7603"/>
          <w:tab w:val="left" w:pos="8599"/>
        </w:tabs>
        <w:spacing w:before="69"/>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甲方应于本合同生效后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个工作日内向乙方支付合同总价款的</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%作为预付款，计¥</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元（大写</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w:t>
      </w:r>
    </w:p>
    <w:p>
      <w:pPr>
        <w:pStyle w:val="18"/>
        <w:numPr>
          <w:ilvl w:val="0"/>
          <w:numId w:val="7"/>
        </w:numPr>
        <w:tabs>
          <w:tab w:val="left" w:pos="797"/>
          <w:tab w:val="left" w:pos="2632"/>
          <w:tab w:val="left" w:pos="6150"/>
          <w:tab w:val="left" w:pos="7098"/>
          <w:tab w:val="left" w:pos="8095"/>
        </w:tabs>
        <w:spacing w:before="118"/>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全部货物验收合格后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个工作日内，甲方向乙方支付合同总价款的</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%，计¥</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元（大写</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w:t>
      </w:r>
    </w:p>
    <w:p>
      <w:pPr>
        <w:pStyle w:val="4"/>
        <w:spacing w:before="16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九、税费</w:t>
      </w:r>
    </w:p>
    <w:p>
      <w:pPr>
        <w:pStyle w:val="3"/>
        <w:spacing w:before="23"/>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本合同执行中相关的一切税费均由乙方负担。</w:t>
      </w:r>
    </w:p>
    <w:p>
      <w:pPr>
        <w:pStyle w:val="4"/>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十、质量保证及售后服务</w:t>
      </w:r>
    </w:p>
    <w:p>
      <w:pPr>
        <w:pStyle w:val="18"/>
        <w:numPr>
          <w:ilvl w:val="0"/>
          <w:numId w:val="8"/>
        </w:numPr>
        <w:tabs>
          <w:tab w:val="left" w:pos="522"/>
        </w:tabs>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乙方保证本合同中所供应的商品是最新生产的符合国家技术规格和质量标准的出厂原装的合格产品。如发生所供商品与合同不符，甲方（采购单位）有权拒收或退货，由此产生的一切责任和后果由乙方承担。</w:t>
      </w:r>
    </w:p>
    <w:p>
      <w:pPr>
        <w:pStyle w:val="18"/>
        <w:numPr>
          <w:ilvl w:val="0"/>
          <w:numId w:val="8"/>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18"/>
        <w:numPr>
          <w:ilvl w:val="0"/>
          <w:numId w:val="9"/>
        </w:numPr>
        <w:tabs>
          <w:tab w:val="left" w:pos="797"/>
        </w:tabs>
        <w:spacing w:before="0"/>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更换：由乙方承担所发生的全部费用。</w:t>
      </w:r>
    </w:p>
    <w:p>
      <w:pPr>
        <w:pStyle w:val="18"/>
        <w:numPr>
          <w:ilvl w:val="0"/>
          <w:numId w:val="9"/>
        </w:numPr>
        <w:tabs>
          <w:tab w:val="left" w:pos="797"/>
        </w:tabs>
        <w:spacing w:before="22"/>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贬值处理：由甲乙双方合议定价。</w:t>
      </w:r>
    </w:p>
    <w:p>
      <w:pPr>
        <w:pStyle w:val="18"/>
        <w:numPr>
          <w:ilvl w:val="0"/>
          <w:numId w:val="9"/>
        </w:numPr>
        <w:tabs>
          <w:tab w:val="left" w:pos="797"/>
        </w:tabs>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退货处理：乙方应退还甲方支付的合同款，同时应承担该货物的直接费用（运输、保险、检验、货款利息及银行手续费等）。</w:t>
      </w:r>
    </w:p>
    <w:p>
      <w:pPr>
        <w:pStyle w:val="18"/>
        <w:numPr>
          <w:ilvl w:val="0"/>
          <w:numId w:val="8"/>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在质保期内，乙方应对货物出现的质量及安全问题负责处理解决并承担一切费用。</w:t>
      </w:r>
    </w:p>
    <w:p>
      <w:pPr>
        <w:pStyle w:val="18"/>
        <w:numPr>
          <w:ilvl w:val="0"/>
          <w:numId w:val="8"/>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上述的货物在质保期内免费保修，因人为因素出现的故障不在免费保修范围内。超过保修期的机器设备，终生维修，维修时只收部件成本费。乙方应当在甲方通知维修后2日内到达货物所在地进行维修。</w:t>
      </w:r>
    </w:p>
    <w:p>
      <w:pPr>
        <w:pStyle w:val="4"/>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十一、调试和验收</w:t>
      </w:r>
    </w:p>
    <w:p>
      <w:pPr>
        <w:pStyle w:val="18"/>
        <w:numPr>
          <w:ilvl w:val="0"/>
          <w:numId w:val="10"/>
        </w:numPr>
        <w:tabs>
          <w:tab w:val="left" w:pos="522"/>
        </w:tabs>
        <w:spacing w:before="106"/>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甲方对乙方提交的货物依据招标文件上的技术规格要求和国家有关质量标准进行现场验收。货到后，甲方需在二十个工作日内验收（质量等隐蔽瑕疵除外）。</w:t>
      </w:r>
    </w:p>
    <w:p>
      <w:pPr>
        <w:pStyle w:val="18"/>
        <w:numPr>
          <w:ilvl w:val="0"/>
          <w:numId w:val="10"/>
        </w:numPr>
        <w:tabs>
          <w:tab w:val="left" w:pos="522"/>
        </w:tabs>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18"/>
        <w:numPr>
          <w:ilvl w:val="0"/>
          <w:numId w:val="10"/>
        </w:numPr>
        <w:tabs>
          <w:tab w:val="left" w:pos="522"/>
        </w:tabs>
        <w:spacing w:before="0"/>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甲方对乙方提供的货物在使用前进行调试时，乙方需负责安装并培训甲方的使用操作人员，并协助甲方一起调试，直到符合技术要求，    甲方才做最终验收。</w:t>
      </w:r>
    </w:p>
    <w:p>
      <w:pPr>
        <w:pStyle w:val="18"/>
        <w:numPr>
          <w:ilvl w:val="0"/>
          <w:numId w:val="10"/>
        </w:numPr>
        <w:tabs>
          <w:tab w:val="left" w:pos="522"/>
        </w:tabs>
        <w:spacing w:before="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对技术复杂的货物，甲方应请国家认可的专业检测机构参与验收，并由其出具质量检测报告。</w:t>
      </w:r>
    </w:p>
    <w:p>
      <w:pPr>
        <w:pStyle w:val="18"/>
        <w:numPr>
          <w:ilvl w:val="0"/>
          <w:numId w:val="10"/>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验收时乙方必须在现场，验收完毕后作出验收结果报告；验收费用由乙方负责。</w:t>
      </w:r>
    </w:p>
    <w:p>
      <w:pPr>
        <w:pStyle w:val="4"/>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十二、货物包装</w:t>
      </w:r>
    </w:p>
    <w:p>
      <w:pPr>
        <w:pStyle w:val="18"/>
        <w:numPr>
          <w:ilvl w:val="0"/>
          <w:numId w:val="11"/>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乙方应在货物发运前对其进行满足运输距离、防潮、防震、防锈和防破损装卸等要求包装，以保证货物安全运达甲方指定地点。</w:t>
      </w:r>
    </w:p>
    <w:p>
      <w:pPr>
        <w:pStyle w:val="18"/>
        <w:numPr>
          <w:ilvl w:val="0"/>
          <w:numId w:val="11"/>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使用说明书、质量检验证明书、随配附件和工具以及清单一并附于货物内。</w:t>
      </w:r>
    </w:p>
    <w:p>
      <w:pPr>
        <w:pStyle w:val="18"/>
        <w:tabs>
          <w:tab w:val="left" w:pos="522"/>
        </w:tabs>
        <w:ind w:left="0" w:right="4471" w:firstLine="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pacing w:val="10"/>
          <w:sz w:val="24"/>
          <w:szCs w:val="24"/>
          <w14:textFill>
            <w14:solidFill>
              <w14:schemeClr w14:val="tx1"/>
            </w14:solidFill>
          </w14:textFill>
        </w:rPr>
        <w:t>十三、违约责任</w:t>
      </w:r>
    </w:p>
    <w:p>
      <w:pPr>
        <w:pStyle w:val="18"/>
        <w:numPr>
          <w:ilvl w:val="0"/>
          <w:numId w:val="12"/>
        </w:numPr>
        <w:tabs>
          <w:tab w:val="left" w:pos="522"/>
        </w:tabs>
        <w:spacing w:before="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甲方无正当理由拒收货物的，甲方向乙方偿付拒收货款总值的</w:t>
      </w:r>
      <w:r>
        <w:rPr>
          <w:rFonts w:hint="eastAsia" w:asciiTheme="minorEastAsia" w:hAnsiTheme="minorEastAsia" w:eastAsiaTheme="minorEastAsia" w:cstheme="minorEastAsia"/>
          <w:color w:val="000000" w:themeColor="text1"/>
          <w:spacing w:val="3"/>
          <w:sz w:val="24"/>
          <w:szCs w:val="24"/>
          <w:u w:val="single" w:color="4068E0"/>
          <w14:textFill>
            <w14:solidFill>
              <w14:schemeClr w14:val="tx1"/>
            </w14:solidFill>
          </w14:textFill>
        </w:rPr>
        <w:t xml:space="preserve"> 百分之五</w:t>
      </w:r>
      <w:r>
        <w:rPr>
          <w:rFonts w:hint="eastAsia" w:asciiTheme="minorEastAsia" w:hAnsiTheme="minorEastAsia" w:eastAsiaTheme="minorEastAsia" w:cstheme="minorEastAsia"/>
          <w:color w:val="000000" w:themeColor="text1"/>
          <w:spacing w:val="45"/>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违约金。</w:t>
      </w:r>
    </w:p>
    <w:p>
      <w:pPr>
        <w:pStyle w:val="18"/>
        <w:numPr>
          <w:ilvl w:val="0"/>
          <w:numId w:val="12"/>
        </w:numPr>
        <w:tabs>
          <w:tab w:val="left" w:pos="522"/>
        </w:tabs>
        <w:spacing w:before="117"/>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甲方无故逾期验收和办理货款支付手续的,甲方应按逾期付款总额每日</w:t>
      </w:r>
      <w:r>
        <w:rPr>
          <w:rFonts w:hint="eastAsia" w:asciiTheme="minorEastAsia" w:hAnsiTheme="minorEastAsia" w:eastAsiaTheme="minorEastAsia" w:cstheme="minorEastAsia"/>
          <w:color w:val="000000" w:themeColor="text1"/>
          <w:spacing w:val="2"/>
          <w:sz w:val="24"/>
          <w:szCs w:val="24"/>
          <w:u w:val="single" w:color="4068E0"/>
          <w14:textFill>
            <w14:solidFill>
              <w14:schemeClr w14:val="tx1"/>
            </w14:solidFill>
          </w14:textFill>
        </w:rPr>
        <w:t xml:space="preserve"> 万分之五</w:t>
      </w:r>
      <w:r>
        <w:rPr>
          <w:rFonts w:hint="eastAsia" w:asciiTheme="minorEastAsia" w:hAnsiTheme="minorEastAsia" w:eastAsiaTheme="minorEastAsia" w:cstheme="minorEastAsia"/>
          <w:color w:val="000000" w:themeColor="text1"/>
          <w:spacing w:val="43"/>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向乙方支付违约金。</w:t>
      </w:r>
    </w:p>
    <w:p>
      <w:pPr>
        <w:pStyle w:val="18"/>
        <w:numPr>
          <w:ilvl w:val="0"/>
          <w:numId w:val="12"/>
        </w:numPr>
        <w:tabs>
          <w:tab w:val="left" w:pos="522"/>
        </w:tabs>
        <w:spacing w:before="118"/>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乙方逾期交付货物的，乙方应按逾期交货总额每日</w:t>
      </w:r>
      <w:r>
        <w:rPr>
          <w:rFonts w:hint="eastAsia" w:asciiTheme="minorEastAsia" w:hAnsiTheme="minorEastAsia" w:eastAsiaTheme="minorEastAsia" w:cstheme="minorEastAsia"/>
          <w:color w:val="000000" w:themeColor="text1"/>
          <w:spacing w:val="15"/>
          <w:sz w:val="24"/>
          <w:szCs w:val="24"/>
          <w:u w:val="single" w:color="4068E0"/>
          <w14:textFill>
            <w14:solidFill>
              <w14:schemeClr w14:val="tx1"/>
            </w14:solidFill>
          </w14:textFill>
        </w:rPr>
        <w:t xml:space="preserve"> 千分之六</w:t>
      </w:r>
      <w:r>
        <w:rPr>
          <w:rFonts w:hint="eastAsia" w:asciiTheme="minorEastAsia" w:hAnsiTheme="minorEastAsia" w:eastAsiaTheme="minorEastAsia" w:cstheme="minorEastAsia"/>
          <w:color w:val="000000" w:themeColor="text1"/>
          <w:spacing w:val="29"/>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向甲方支付违约金，由甲方从待付货款中扣除。逾期超过约定日期   10 个工作日不能交货的，甲方可解除本合同。乙方因逾期交货或因其他违约行为导致甲方解除合同的，乙方应向甲方支付合同总值</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5</w:t>
      </w:r>
      <w:r>
        <w:rPr>
          <w:rFonts w:hint="eastAsia" w:asciiTheme="minorEastAsia" w:hAnsiTheme="minorEastAsia" w:eastAsiaTheme="minorEastAsia" w:cstheme="minorEastAsia"/>
          <w:color w:val="000000" w:themeColor="text1"/>
          <w:sz w:val="24"/>
          <w:szCs w:val="24"/>
          <w14:textFill>
            <w14:solidFill>
              <w14:schemeClr w14:val="tx1"/>
            </w14:solidFill>
          </w14:textFill>
        </w:rPr>
        <w:t>%的违约金，如造成甲方损失超过违约金的，超出部分由乙方继续承担赔偿责任。</w:t>
      </w:r>
    </w:p>
    <w:p>
      <w:pPr>
        <w:pStyle w:val="18"/>
        <w:numPr>
          <w:ilvl w:val="0"/>
          <w:numId w:val="12"/>
        </w:num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4"/>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十四、不可抗力事件处理</w:t>
      </w:r>
    </w:p>
    <w:p>
      <w:pPr>
        <w:pStyle w:val="18"/>
        <w:numPr>
          <w:ilvl w:val="0"/>
          <w:numId w:val="13"/>
        </w:numPr>
        <w:tabs>
          <w:tab w:val="left" w:pos="522"/>
        </w:tabs>
        <w:spacing w:before="106"/>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在合同有效期内，任何一方因不可抗力事件导致不能履行合同，双方协商后，则合同履行期可延长，其延长期与不可抗力影响期相同。</w:t>
      </w:r>
    </w:p>
    <w:p>
      <w:pPr>
        <w:pStyle w:val="18"/>
        <w:numPr>
          <w:ilvl w:val="0"/>
          <w:numId w:val="13"/>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不可抗力事件发生后，应立即通知对方，并寄送有关权威机构出具的证明。</w:t>
      </w:r>
    </w:p>
    <w:p>
      <w:pPr>
        <w:pStyle w:val="18"/>
        <w:numPr>
          <w:ilvl w:val="0"/>
          <w:numId w:val="13"/>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 xml:space="preserve">不可抗力事件延续 </w:t>
      </w:r>
      <w:r>
        <w:rPr>
          <w:rFonts w:hint="eastAsia" w:asciiTheme="minorEastAsia" w:hAnsiTheme="minorEastAsia" w:eastAsiaTheme="minorEastAsia" w:cstheme="minorEastAsia"/>
          <w:color w:val="000000" w:themeColor="text1"/>
          <w:sz w:val="24"/>
          <w:szCs w:val="24"/>
          <w14:textFill>
            <w14:solidFill>
              <w14:schemeClr w14:val="tx1"/>
            </w14:solidFill>
          </w14:textFill>
        </w:rPr>
        <w:t>120天以上，双方可以通过友好协商，确定是否继续履行合同。</w:t>
      </w:r>
    </w:p>
    <w:p>
      <w:pPr>
        <w:pStyle w:val="4"/>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十五、诉讼</w:t>
      </w:r>
    </w:p>
    <w:p>
      <w:pPr>
        <w:pStyle w:val="3"/>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双方在执行合同中所发生的一切争议，应通过协商解决。如协商不成，可向甲方所在地法院起诉。</w:t>
      </w:r>
    </w:p>
    <w:p>
      <w:pPr>
        <w:pStyle w:val="4"/>
        <w:spacing w:before="1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十六、合同生效及其它</w:t>
      </w:r>
    </w:p>
    <w:p>
      <w:pPr>
        <w:pStyle w:val="18"/>
        <w:numPr>
          <w:ilvl w:val="0"/>
          <w:numId w:val="14"/>
        </w:numPr>
        <w:tabs>
          <w:tab w:val="left" w:pos="522"/>
        </w:tabs>
        <w:ind w:hanging="1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本合同经甲、乙双方签字并加盖单位公章后生效。</w:t>
      </w:r>
    </w:p>
    <w:p>
      <w:pPr>
        <w:pStyle w:val="18"/>
        <w:numPr>
          <w:ilvl w:val="0"/>
          <w:numId w:val="14"/>
        </w:numPr>
        <w:tabs>
          <w:tab w:val="left" w:pos="522"/>
        </w:tabs>
        <w:ind w:left="111" w:right="101" w:firstLine="2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招标文件、投标文件、项目采购协议或入围承诺书与本合同具有同等法律效力。如前述各项文件之间约定不一致的，应以最新签署的文件内容为准。</w:t>
      </w:r>
    </w:p>
    <w:p>
      <w:pPr>
        <w:pStyle w:val="18"/>
        <w:numPr>
          <w:ilvl w:val="0"/>
          <w:numId w:val="14"/>
        </w:numPr>
        <w:tabs>
          <w:tab w:val="left" w:pos="522"/>
        </w:tabs>
        <w:spacing w:before="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本合同未尽事宜，以招投标文件为准。</w:t>
      </w:r>
    </w:p>
    <w:p>
      <w:pPr>
        <w:pStyle w:val="18"/>
        <w:numPr>
          <w:ilvl w:val="0"/>
          <w:numId w:val="14"/>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本合同一式三份，甲方执二份，乙方执一份，具有同等法律效力。</w:t>
      </w:r>
    </w:p>
    <w:p>
      <w:pPr>
        <w:pStyle w:val="18"/>
        <w:numPr>
          <w:ilvl w:val="0"/>
          <w:numId w:val="14"/>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附件设备配置清单系本合同不可分割的组成部分，与本合同具有同等法律效力。</w:t>
      </w: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甲方（盖章）： 温州市中医院</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乙方（盖章）：  </w:t>
      </w:r>
    </w:p>
    <w:p>
      <w:pPr>
        <w:pStyle w:val="3"/>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地址：温州市六虹桥路蛟尾路9号                     地址：                                                                                           </w:t>
      </w:r>
    </w:p>
    <w:p>
      <w:pPr>
        <w:pStyle w:val="3"/>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法定（授权）代表人：                              法定（授权）代表人： </w:t>
      </w:r>
    </w:p>
    <w:p>
      <w:pPr>
        <w:pStyle w:val="3"/>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签字日期：    年    月    日                      签字日期：    年   月   日</w:t>
      </w:r>
    </w:p>
    <w:p>
      <w:pPr>
        <w:widowControl/>
        <w:jc w:val="left"/>
        <w:rPr>
          <w:rFonts w:hint="eastAsia" w:asciiTheme="minorEastAsia" w:hAnsiTheme="minorEastAsia" w:eastAsiaTheme="minorEastAsia" w:cstheme="minorEastAsia"/>
          <w:kern w:val="0"/>
          <w:sz w:val="24"/>
          <w:szCs w:val="24"/>
          <w:lang w:val="zh-CN" w:bidi="zh-CN"/>
        </w:rPr>
      </w:pPr>
      <w:r>
        <w:rPr>
          <w:rFonts w:hint="eastAsia" w:asciiTheme="minorEastAsia" w:hAnsiTheme="minorEastAsia" w:eastAsiaTheme="minorEastAsia" w:cstheme="minorEastAsia"/>
          <w:sz w:val="24"/>
          <w:szCs w:val="24"/>
        </w:rPr>
        <w:br w:type="page"/>
      </w:r>
    </w:p>
    <w:p>
      <w:pPr>
        <w:jc w:val="center"/>
        <w:rPr>
          <w:b/>
          <w:sz w:val="36"/>
          <w:szCs w:val="36"/>
        </w:rPr>
      </w:pPr>
      <w:r>
        <w:rPr>
          <w:rFonts w:hint="eastAsia"/>
          <w:b/>
          <w:sz w:val="36"/>
          <w:szCs w:val="36"/>
        </w:rPr>
        <w:t>设备配置清单</w:t>
      </w:r>
    </w:p>
    <w:p>
      <w:pPr>
        <w:pStyle w:val="3"/>
        <w:rPr>
          <w:sz w:val="20"/>
        </w:rPr>
      </w:pPr>
    </w:p>
    <w:tbl>
      <w:tblPr>
        <w:tblStyle w:val="10"/>
        <w:tblpPr w:leftFromText="180" w:rightFromText="180" w:vertAnchor="text" w:horzAnchor="margin" w:tblpXSpec="center" w:tblpY="357"/>
        <w:tblOverlap w:val="never"/>
        <w:tblW w:w="91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992"/>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Pr>
          <w:p>
            <w:pPr>
              <w:jc w:val="center"/>
              <w:rPr>
                <w:b/>
                <w:sz w:val="21"/>
                <w:szCs w:val="21"/>
              </w:rPr>
            </w:pPr>
            <w:r>
              <w:rPr>
                <w:rFonts w:hint="eastAsia"/>
                <w:b/>
                <w:sz w:val="21"/>
                <w:szCs w:val="21"/>
              </w:rPr>
              <w:t>序号</w:t>
            </w:r>
          </w:p>
        </w:tc>
        <w:tc>
          <w:tcPr>
            <w:tcW w:w="992" w:type="dxa"/>
            <w:vAlign w:val="center"/>
          </w:tcPr>
          <w:p>
            <w:pPr>
              <w:jc w:val="center"/>
              <w:rPr>
                <w:b/>
                <w:sz w:val="21"/>
                <w:szCs w:val="21"/>
              </w:rPr>
            </w:pPr>
            <w:r>
              <w:rPr>
                <w:rFonts w:hint="eastAsia"/>
                <w:b/>
                <w:sz w:val="21"/>
                <w:szCs w:val="21"/>
              </w:rPr>
              <w:t>品牌</w:t>
            </w:r>
          </w:p>
        </w:tc>
        <w:tc>
          <w:tcPr>
            <w:tcW w:w="2934" w:type="dxa"/>
            <w:vAlign w:val="center"/>
          </w:tcPr>
          <w:p>
            <w:pPr>
              <w:jc w:val="center"/>
              <w:rPr>
                <w:b/>
                <w:sz w:val="21"/>
                <w:szCs w:val="21"/>
              </w:rPr>
            </w:pPr>
            <w:r>
              <w:rPr>
                <w:rFonts w:hint="eastAsia"/>
                <w:b/>
                <w:sz w:val="21"/>
                <w:szCs w:val="21"/>
              </w:rPr>
              <w:t>产品名称</w:t>
            </w:r>
          </w:p>
        </w:tc>
        <w:tc>
          <w:tcPr>
            <w:tcW w:w="1815" w:type="dxa"/>
            <w:vAlign w:val="center"/>
          </w:tcPr>
          <w:p>
            <w:pPr>
              <w:jc w:val="center"/>
              <w:rPr>
                <w:b/>
                <w:sz w:val="21"/>
                <w:szCs w:val="21"/>
              </w:rPr>
            </w:pPr>
            <w:r>
              <w:rPr>
                <w:rFonts w:hint="eastAsia"/>
                <w:b/>
                <w:sz w:val="21"/>
                <w:szCs w:val="21"/>
              </w:rPr>
              <w:t>规格型号</w:t>
            </w:r>
          </w:p>
        </w:tc>
        <w:tc>
          <w:tcPr>
            <w:tcW w:w="705" w:type="dxa"/>
            <w:vAlign w:val="center"/>
          </w:tcPr>
          <w:p>
            <w:pPr>
              <w:jc w:val="center"/>
              <w:rPr>
                <w:b/>
                <w:sz w:val="21"/>
                <w:szCs w:val="21"/>
              </w:rPr>
            </w:pPr>
            <w:r>
              <w:rPr>
                <w:rFonts w:hint="eastAsia"/>
                <w:b/>
                <w:sz w:val="21"/>
                <w:szCs w:val="21"/>
              </w:rPr>
              <w:t>数量</w:t>
            </w:r>
          </w:p>
        </w:tc>
        <w:tc>
          <w:tcPr>
            <w:tcW w:w="1110" w:type="dxa"/>
            <w:vAlign w:val="center"/>
          </w:tcPr>
          <w:p>
            <w:pPr>
              <w:jc w:val="center"/>
              <w:rPr>
                <w:b/>
                <w:sz w:val="21"/>
                <w:szCs w:val="21"/>
              </w:rPr>
            </w:pPr>
            <w:r>
              <w:rPr>
                <w:rFonts w:hint="eastAsia"/>
                <w:b/>
                <w:sz w:val="21"/>
                <w:szCs w:val="21"/>
              </w:rPr>
              <w:t>金额（元）</w:t>
            </w:r>
          </w:p>
        </w:tc>
        <w:tc>
          <w:tcPr>
            <w:tcW w:w="930" w:type="dxa"/>
            <w:vAlign w:val="center"/>
          </w:tcPr>
          <w:p>
            <w:pPr>
              <w:jc w:val="center"/>
              <w:rPr>
                <w:b/>
                <w:sz w:val="21"/>
                <w:szCs w:val="21"/>
              </w:rPr>
            </w:pPr>
            <w:r>
              <w:rPr>
                <w:rFonts w:hint="eastAsia"/>
                <w:b/>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2</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3</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4</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5</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6</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7</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8</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9</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10</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11</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12</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13</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14</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bl>
    <w:p>
      <w:pPr>
        <w:pStyle w:val="3"/>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18"/>
          <w:szCs w:val="20"/>
        </w:rPr>
      </w:pPr>
      <w:r>
        <w:rPr>
          <w:rFonts w:ascii="Calibri" w:hAnsi="Calibri" w:eastAsia="宋体" w:cs="Times New Roman"/>
          <w:sz w:val="18"/>
          <w:szCs w:val="20"/>
        </w:rPr>
        <w:t>甲方</w:t>
      </w:r>
      <w:r>
        <w:rPr>
          <w:rFonts w:ascii="Calibri" w:hAnsi="Calibri" w:eastAsia="宋体" w:cs="Times New Roman"/>
          <w:bCs/>
          <w:sz w:val="18"/>
          <w:szCs w:val="20"/>
        </w:rPr>
        <w:t>：</w:t>
      </w:r>
      <w:r>
        <w:rPr>
          <w:rFonts w:hint="eastAsia" w:ascii="Calibri" w:hAnsi="Calibri" w:eastAsia="宋体" w:cs="Times New Roman"/>
          <w:bCs/>
          <w:sz w:val="18"/>
          <w:szCs w:val="20"/>
        </w:rPr>
        <w:t>温州市中医院</w:t>
      </w:r>
    </w:p>
    <w:p>
      <w:pPr>
        <w:spacing w:line="440" w:lineRule="exact"/>
        <w:rPr>
          <w:rFonts w:hint="eastAsia" w:ascii="Calibri" w:hAnsi="Calibri" w:eastAsia="宋体" w:cs="Times New Roman"/>
          <w:bCs/>
          <w:sz w:val="18"/>
          <w:szCs w:val="20"/>
        </w:rPr>
      </w:pPr>
      <w:r>
        <w:rPr>
          <w:rFonts w:ascii="Calibri" w:hAnsi="Calibri" w:eastAsia="宋体" w:cs="Times New Roman"/>
          <w:sz w:val="18"/>
          <w:szCs w:val="20"/>
        </w:rPr>
        <w:t>乙方</w:t>
      </w:r>
      <w:r>
        <w:rPr>
          <w:rFonts w:ascii="Calibri" w:hAnsi="Calibri" w:eastAsia="宋体" w:cs="Times New Roman"/>
          <w:bCs/>
          <w:sz w:val="18"/>
          <w:szCs w:val="20"/>
        </w:rPr>
        <w:t>：</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为进一步加强医疗卫生行风建设，规范医疗卫生机构</w:t>
      </w:r>
      <w:r>
        <w:rPr>
          <w:rFonts w:hint="eastAsia" w:ascii="Calibri" w:hAnsi="Calibri" w:eastAsia="宋体" w:cs="Times New Roman"/>
          <w:bCs/>
          <w:sz w:val="18"/>
          <w:szCs w:val="20"/>
        </w:rPr>
        <w:t>各类</w:t>
      </w:r>
      <w:r>
        <w:rPr>
          <w:rFonts w:ascii="Calibri" w:hAnsi="Calibri" w:eastAsia="宋体" w:cs="Times New Roman"/>
          <w:bCs/>
          <w:sz w:val="18"/>
          <w:szCs w:val="20"/>
        </w:rPr>
        <w:t>购销行为，有效防范商业贿赂行为，营造公平交易、诚实守信的</w:t>
      </w:r>
      <w:r>
        <w:rPr>
          <w:rFonts w:hint="eastAsia" w:ascii="Calibri" w:hAnsi="Calibri" w:eastAsia="宋体" w:cs="Times New Roman"/>
          <w:bCs/>
          <w:sz w:val="18"/>
          <w:szCs w:val="20"/>
        </w:rPr>
        <w:t>“清廉医院”</w:t>
      </w:r>
      <w:r>
        <w:rPr>
          <w:rFonts w:ascii="Calibri" w:hAnsi="Calibri" w:eastAsia="宋体" w:cs="Times New Roman"/>
          <w:bCs/>
          <w:sz w:val="18"/>
          <w:szCs w:val="20"/>
        </w:rPr>
        <w:t>购销环境，经甲、乙双方协商，同意签订本合同，并共同遵守：</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一、甲乙双方按照《</w:t>
      </w:r>
      <w:r>
        <w:rPr>
          <w:rFonts w:hint="eastAsia" w:ascii="Calibri" w:hAnsi="Calibri" w:eastAsia="宋体" w:cs="Times New Roman"/>
          <w:bCs/>
          <w:sz w:val="18"/>
          <w:szCs w:val="20"/>
        </w:rPr>
        <w:t>民法典</w:t>
      </w:r>
      <w:r>
        <w:rPr>
          <w:rFonts w:ascii="Calibri" w:hAnsi="Calibri" w:eastAsia="宋体" w:cs="Times New Roman"/>
          <w:bCs/>
          <w:sz w:val="18"/>
          <w:szCs w:val="20"/>
        </w:rPr>
        <w:t>》</w:t>
      </w:r>
      <w:r>
        <w:rPr>
          <w:rFonts w:hint="eastAsia" w:ascii="Calibri" w:hAnsi="Calibri" w:eastAsia="宋体" w:cs="Times New Roman"/>
          <w:bCs/>
          <w:sz w:val="18"/>
          <w:szCs w:val="20"/>
        </w:rPr>
        <w:t>等相关法规要求，约定</w:t>
      </w:r>
      <w:r>
        <w:rPr>
          <w:rFonts w:ascii="Calibri" w:hAnsi="Calibri" w:eastAsia="宋体" w:cs="Times New Roman"/>
          <w:bCs/>
          <w:sz w:val="18"/>
          <w:szCs w:val="20"/>
        </w:rPr>
        <w:t>购销</w:t>
      </w:r>
      <w:r>
        <w:rPr>
          <w:rFonts w:hint="eastAsia" w:ascii="Calibri" w:hAnsi="Calibri" w:eastAsia="宋体" w:cs="Times New Roman"/>
          <w:bCs/>
          <w:sz w:val="18"/>
          <w:szCs w:val="20"/>
        </w:rPr>
        <w:t>包括但不限于</w:t>
      </w:r>
      <w:r>
        <w:rPr>
          <w:rFonts w:ascii="Calibri" w:hAnsi="Calibri" w:eastAsia="宋体" w:cs="Times New Roman"/>
          <w:bCs/>
          <w:sz w:val="18"/>
          <w:szCs w:val="20"/>
        </w:rPr>
        <w:t>药品、设备、耗材</w:t>
      </w:r>
      <w:r>
        <w:rPr>
          <w:rFonts w:hint="eastAsia" w:ascii="Calibri" w:hAnsi="Calibri" w:eastAsia="宋体" w:cs="Times New Roman"/>
          <w:bCs/>
          <w:sz w:val="18"/>
          <w:szCs w:val="20"/>
        </w:rPr>
        <w:t>、维保</w:t>
      </w:r>
      <w:r>
        <w:rPr>
          <w:rFonts w:ascii="Calibri" w:hAnsi="Calibri" w:eastAsia="宋体" w:cs="Times New Roman"/>
          <w:bCs/>
          <w:sz w:val="18"/>
          <w:szCs w:val="20"/>
        </w:rPr>
        <w:t>等</w:t>
      </w:r>
      <w:r>
        <w:rPr>
          <w:rFonts w:hint="eastAsia" w:ascii="Calibri" w:hAnsi="Calibri" w:eastAsia="宋体" w:cs="Times New Roman"/>
          <w:bCs/>
          <w:sz w:val="18"/>
          <w:szCs w:val="20"/>
        </w:rPr>
        <w:t>货物或服务</w:t>
      </w:r>
      <w:r>
        <w:rPr>
          <w:rFonts w:ascii="Calibri" w:hAnsi="Calibri" w:eastAsia="宋体" w:cs="Times New Roman"/>
          <w:bCs/>
          <w:sz w:val="18"/>
          <w:szCs w:val="20"/>
        </w:rPr>
        <w:t>。</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二、甲方应当严格执行合同验收、入库制度，对采购产品及发票进行查验，不得违反有关规定合同外采购、违价采购或从非规定渠道采购。</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四、严禁甲方工作人员利用任何途径和方式，为乙方统计医师个人及临床科室有关医药产品用量信息，或为乙方统计提供便利。</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五、乙方不得以回扣、宴请等方式影响甲方工作人员采购</w:t>
      </w:r>
      <w:r>
        <w:rPr>
          <w:rFonts w:hint="eastAsia" w:ascii="Calibri" w:hAnsi="Calibri" w:eastAsia="宋体" w:cs="Times New Roman"/>
          <w:bCs/>
          <w:sz w:val="18"/>
          <w:szCs w:val="20"/>
        </w:rPr>
        <w:t>或使用</w:t>
      </w:r>
      <w:r>
        <w:rPr>
          <w:rFonts w:ascii="Calibri" w:hAnsi="Calibri" w:eastAsia="宋体" w:cs="Times New Roman"/>
          <w:bCs/>
          <w:sz w:val="18"/>
          <w:szCs w:val="20"/>
        </w:rPr>
        <w:t>产品的选择权，不得在学术活动中提供旅游、超标准支付食宿费用。</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六、乙方指定</w:t>
      </w:r>
      <w:r>
        <w:rPr>
          <w:rFonts w:ascii="Calibri" w:hAnsi="Calibri" w:eastAsia="宋体" w:cs="Times New Roman"/>
          <w:bCs/>
          <w:sz w:val="18"/>
          <w:szCs w:val="20"/>
          <w:u w:val="single"/>
        </w:rPr>
        <w:t xml:space="preserve">                        </w:t>
      </w:r>
      <w:r>
        <w:rPr>
          <w:rFonts w:ascii="Calibri" w:hAnsi="Calibri" w:eastAsia="宋体" w:cs="Times New Roman"/>
          <w:bCs/>
          <w:sz w:val="18"/>
          <w:szCs w:val="20"/>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18"/>
          <w:szCs w:val="20"/>
          <w:shd w:val="clear" w:color="auto" w:fill="FFFFFF"/>
        </w:rPr>
        <w:t>（国卫法制发〔2013〕50号）</w:t>
      </w:r>
      <w:r>
        <w:rPr>
          <w:rFonts w:hint="eastAsia" w:ascii="Calibri" w:hAnsi="Calibri" w:eastAsia="宋体" w:cs="Times New Roman"/>
          <w:bCs/>
          <w:sz w:val="18"/>
          <w:szCs w:val="20"/>
          <w:shd w:val="clear" w:color="auto" w:fill="FFFFFF"/>
        </w:rPr>
        <w:t>及《关于印发医疗机构工作人员廉洁从业九项准则的通知》（国卫医发〔2021〕37号）</w:t>
      </w:r>
      <w:r>
        <w:rPr>
          <w:rFonts w:ascii="Calibri" w:hAnsi="Calibri" w:eastAsia="宋体" w:cs="Times New Roman"/>
          <w:bCs/>
          <w:sz w:val="18"/>
          <w:szCs w:val="20"/>
        </w:rPr>
        <w:t>相关规定处理。</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八、本合同作为购销合同的重要组成部分，与购销合同一并执行，具有同等的法律效力。</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九、本合同一式三份，甲、乙双方各执一份，甲方纪检监察部门执一份，并从签订之日起生效。</w:t>
      </w:r>
    </w:p>
    <w:p>
      <w:pPr>
        <w:spacing w:line="440" w:lineRule="exact"/>
        <w:rPr>
          <w:rFonts w:ascii="Calibri" w:hAnsi="Calibri" w:eastAsia="宋体" w:cs="Times New Roman"/>
          <w:bCs/>
          <w:sz w:val="18"/>
          <w:szCs w:val="20"/>
        </w:rPr>
      </w:pPr>
    </w:p>
    <w:p>
      <w:pPr>
        <w:spacing w:line="440" w:lineRule="exact"/>
        <w:rPr>
          <w:rFonts w:ascii="Calibri" w:hAnsi="Calibri" w:eastAsia="宋体" w:cs="Times New Roman"/>
          <w:bCs/>
          <w:sz w:val="18"/>
          <w:szCs w:val="20"/>
        </w:rPr>
      </w:pPr>
      <w:r>
        <w:rPr>
          <w:rFonts w:ascii="Calibri" w:hAnsi="Calibri" w:eastAsia="宋体" w:cs="Times New Roman"/>
          <w:bCs/>
          <w:sz w:val="18"/>
          <w:szCs w:val="20"/>
        </w:rPr>
        <w:t xml:space="preserve">甲方（盖章）：                     </w:t>
      </w:r>
      <w:r>
        <w:rPr>
          <w:rFonts w:hint="eastAsia" w:ascii="Calibri" w:hAnsi="Calibri" w:eastAsia="宋体" w:cs="Times New Roman"/>
          <w:bCs/>
          <w:sz w:val="18"/>
          <w:szCs w:val="20"/>
        </w:rPr>
        <w:t xml:space="preserve">       </w:t>
      </w:r>
      <w:r>
        <w:rPr>
          <w:rFonts w:ascii="Calibri" w:hAnsi="Calibri" w:eastAsia="宋体" w:cs="Times New Roman"/>
          <w:bCs/>
          <w:sz w:val="18"/>
          <w:szCs w:val="20"/>
        </w:rPr>
        <w:t>乙方（盖章）：</w:t>
      </w:r>
    </w:p>
    <w:p>
      <w:pPr>
        <w:spacing w:line="440" w:lineRule="exact"/>
        <w:rPr>
          <w:rFonts w:ascii="Calibri" w:hAnsi="Calibri" w:eastAsia="宋体" w:cs="Times New Roman"/>
          <w:bCs/>
          <w:sz w:val="18"/>
          <w:szCs w:val="20"/>
        </w:rPr>
      </w:pPr>
      <w:r>
        <w:rPr>
          <w:rFonts w:ascii="Calibri" w:hAnsi="Calibri" w:eastAsia="宋体" w:cs="Times New Roman"/>
          <w:bCs/>
          <w:sz w:val="18"/>
          <w:szCs w:val="20"/>
        </w:rPr>
        <w:t xml:space="preserve">法定代表人（负责人）：             </w:t>
      </w:r>
      <w:r>
        <w:rPr>
          <w:rFonts w:hint="eastAsia" w:ascii="Calibri" w:hAnsi="Calibri" w:eastAsia="宋体" w:cs="Times New Roman"/>
          <w:bCs/>
          <w:sz w:val="18"/>
          <w:szCs w:val="20"/>
        </w:rPr>
        <w:t xml:space="preserve">       </w:t>
      </w:r>
      <w:r>
        <w:rPr>
          <w:rFonts w:ascii="Calibri" w:hAnsi="Calibri" w:eastAsia="宋体" w:cs="Times New Roman"/>
          <w:bCs/>
          <w:sz w:val="18"/>
          <w:szCs w:val="20"/>
        </w:rPr>
        <w:t>法定代表人（负责人）：</w:t>
      </w:r>
    </w:p>
    <w:p>
      <w:pPr>
        <w:spacing w:line="440" w:lineRule="exact"/>
        <w:rPr>
          <w:rFonts w:ascii="Calibri" w:hAnsi="Calibri" w:eastAsia="宋体" w:cs="Times New Roman"/>
          <w:bCs/>
          <w:sz w:val="18"/>
          <w:szCs w:val="20"/>
        </w:rPr>
      </w:pPr>
      <w:r>
        <w:rPr>
          <w:rFonts w:ascii="Calibri" w:hAnsi="Calibri" w:eastAsia="宋体" w:cs="Times New Roman"/>
          <w:bCs/>
          <w:sz w:val="18"/>
          <w:szCs w:val="20"/>
        </w:rPr>
        <w:t xml:space="preserve">经办人签名：                     </w:t>
      </w:r>
      <w:r>
        <w:rPr>
          <w:rFonts w:hint="eastAsia" w:ascii="Calibri" w:hAnsi="Calibri" w:eastAsia="宋体" w:cs="Times New Roman"/>
          <w:bCs/>
          <w:sz w:val="18"/>
          <w:szCs w:val="20"/>
        </w:rPr>
        <w:t xml:space="preserve">       </w:t>
      </w:r>
      <w:r>
        <w:rPr>
          <w:rFonts w:ascii="Calibri" w:hAnsi="Calibri" w:eastAsia="宋体" w:cs="Times New Roman"/>
          <w:bCs/>
          <w:sz w:val="18"/>
          <w:szCs w:val="20"/>
        </w:rPr>
        <w:t xml:space="preserve"> 经办人签名：</w:t>
      </w:r>
    </w:p>
    <w:p>
      <w:pPr>
        <w:spacing w:line="440" w:lineRule="exact"/>
        <w:ind w:firstLine="450" w:firstLineChars="250"/>
        <w:rPr>
          <w:rFonts w:ascii="Calibri" w:hAnsi="Calibri" w:eastAsia="宋体" w:cs="Times New Roman"/>
          <w:sz w:val="18"/>
          <w:szCs w:val="24"/>
        </w:rPr>
      </w:pPr>
      <w:r>
        <w:rPr>
          <w:rFonts w:ascii="Calibri" w:hAnsi="Calibri" w:eastAsia="宋体" w:cs="Times New Roman"/>
          <w:bCs/>
          <w:sz w:val="18"/>
          <w:szCs w:val="20"/>
        </w:rPr>
        <w:t xml:space="preserve">年   月   日                      </w:t>
      </w:r>
      <w:r>
        <w:rPr>
          <w:rFonts w:hint="eastAsia" w:ascii="Calibri" w:hAnsi="Calibri" w:eastAsia="宋体" w:cs="Times New Roman"/>
          <w:bCs/>
          <w:sz w:val="18"/>
          <w:szCs w:val="20"/>
        </w:rPr>
        <w:t xml:space="preserve">       </w:t>
      </w:r>
      <w:r>
        <w:rPr>
          <w:rFonts w:ascii="Calibri" w:hAnsi="Calibri" w:eastAsia="宋体" w:cs="Times New Roman"/>
          <w:bCs/>
          <w:sz w:val="18"/>
          <w:szCs w:val="20"/>
        </w:rPr>
        <w:t xml:space="preserve"> 年   月  日</w:t>
      </w: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9" w:usb3="00000000" w:csb0="200001FF"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
    <w:nsid w:val="B5E306ED"/>
    <w:multiLevelType w:val="multilevel"/>
    <w:tmpl w:val="B5E306ED"/>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2">
    <w:nsid w:val="BF205925"/>
    <w:multiLevelType w:val="multilevel"/>
    <w:tmpl w:val="BF205925"/>
    <w:lvl w:ilvl="0" w:tentative="0">
      <w:start w:val="1"/>
      <w:numFmt w:val="decimal"/>
      <w:lvlText w:val="（%1）"/>
      <w:lvlJc w:val="left"/>
      <w:pPr>
        <w:ind w:left="796" w:hanging="446"/>
      </w:pPr>
      <w:rPr>
        <w:rFonts w:hint="default" w:ascii="宋体" w:hAnsi="宋体" w:eastAsia="宋体" w:cs="宋体"/>
        <w:spacing w:val="-13"/>
        <w:w w:val="98"/>
        <w:sz w:val="15"/>
        <w:szCs w:val="15"/>
        <w:lang w:val="zh-CN" w:eastAsia="zh-CN" w:bidi="zh-CN"/>
      </w:rPr>
    </w:lvl>
    <w:lvl w:ilvl="1" w:tentative="0">
      <w:start w:val="0"/>
      <w:numFmt w:val="bullet"/>
      <w:lvlText w:val="•"/>
      <w:lvlJc w:val="left"/>
      <w:pPr>
        <w:ind w:left="1774" w:hanging="446"/>
      </w:pPr>
      <w:rPr>
        <w:rFonts w:hint="default"/>
        <w:lang w:val="zh-CN" w:eastAsia="zh-CN" w:bidi="zh-CN"/>
      </w:rPr>
    </w:lvl>
    <w:lvl w:ilvl="2" w:tentative="0">
      <w:start w:val="0"/>
      <w:numFmt w:val="bullet"/>
      <w:lvlText w:val="•"/>
      <w:lvlJc w:val="left"/>
      <w:pPr>
        <w:ind w:left="2748" w:hanging="446"/>
      </w:pPr>
      <w:rPr>
        <w:rFonts w:hint="default"/>
        <w:lang w:val="zh-CN" w:eastAsia="zh-CN" w:bidi="zh-CN"/>
      </w:rPr>
    </w:lvl>
    <w:lvl w:ilvl="3" w:tentative="0">
      <w:start w:val="0"/>
      <w:numFmt w:val="bullet"/>
      <w:lvlText w:val="•"/>
      <w:lvlJc w:val="left"/>
      <w:pPr>
        <w:ind w:left="3722" w:hanging="446"/>
      </w:pPr>
      <w:rPr>
        <w:rFonts w:hint="default"/>
        <w:lang w:val="zh-CN" w:eastAsia="zh-CN" w:bidi="zh-CN"/>
      </w:rPr>
    </w:lvl>
    <w:lvl w:ilvl="4" w:tentative="0">
      <w:start w:val="0"/>
      <w:numFmt w:val="bullet"/>
      <w:lvlText w:val="•"/>
      <w:lvlJc w:val="left"/>
      <w:pPr>
        <w:ind w:left="4696" w:hanging="446"/>
      </w:pPr>
      <w:rPr>
        <w:rFonts w:hint="default"/>
        <w:lang w:val="zh-CN" w:eastAsia="zh-CN" w:bidi="zh-CN"/>
      </w:rPr>
    </w:lvl>
    <w:lvl w:ilvl="5" w:tentative="0">
      <w:start w:val="0"/>
      <w:numFmt w:val="bullet"/>
      <w:lvlText w:val="•"/>
      <w:lvlJc w:val="left"/>
      <w:pPr>
        <w:ind w:left="5670" w:hanging="446"/>
      </w:pPr>
      <w:rPr>
        <w:rFonts w:hint="default"/>
        <w:lang w:val="zh-CN" w:eastAsia="zh-CN" w:bidi="zh-CN"/>
      </w:rPr>
    </w:lvl>
    <w:lvl w:ilvl="6" w:tentative="0">
      <w:start w:val="0"/>
      <w:numFmt w:val="bullet"/>
      <w:lvlText w:val="•"/>
      <w:lvlJc w:val="left"/>
      <w:pPr>
        <w:ind w:left="6644" w:hanging="446"/>
      </w:pPr>
      <w:rPr>
        <w:rFonts w:hint="default"/>
        <w:lang w:val="zh-CN" w:eastAsia="zh-CN" w:bidi="zh-CN"/>
      </w:rPr>
    </w:lvl>
    <w:lvl w:ilvl="7" w:tentative="0">
      <w:start w:val="0"/>
      <w:numFmt w:val="bullet"/>
      <w:lvlText w:val="•"/>
      <w:lvlJc w:val="left"/>
      <w:pPr>
        <w:ind w:left="7618" w:hanging="446"/>
      </w:pPr>
      <w:rPr>
        <w:rFonts w:hint="default"/>
        <w:lang w:val="zh-CN" w:eastAsia="zh-CN" w:bidi="zh-CN"/>
      </w:rPr>
    </w:lvl>
    <w:lvl w:ilvl="8" w:tentative="0">
      <w:start w:val="0"/>
      <w:numFmt w:val="bullet"/>
      <w:lvlText w:val="•"/>
      <w:lvlJc w:val="left"/>
      <w:pPr>
        <w:ind w:left="8592" w:hanging="446"/>
      </w:pPr>
      <w:rPr>
        <w:rFonts w:hint="default"/>
        <w:lang w:val="zh-CN" w:eastAsia="zh-CN" w:bidi="zh-CN"/>
      </w:rPr>
    </w:lvl>
  </w:abstractNum>
  <w:abstractNum w:abstractNumId="3">
    <w:nsid w:val="CF092B84"/>
    <w:multiLevelType w:val="multilevel"/>
    <w:tmpl w:val="CF092B84"/>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4">
    <w:nsid w:val="0053208E"/>
    <w:multiLevelType w:val="multilevel"/>
    <w:tmpl w:val="0053208E"/>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5">
    <w:nsid w:val="0248C179"/>
    <w:multiLevelType w:val="multilevel"/>
    <w:tmpl w:val="0248C179"/>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6">
    <w:nsid w:val="03D62ECE"/>
    <w:multiLevelType w:val="multilevel"/>
    <w:tmpl w:val="03D62ECE"/>
    <w:lvl w:ilvl="0" w:tentative="0">
      <w:start w:val="1"/>
      <w:numFmt w:val="decimal"/>
      <w:lvlText w:val="（%1）"/>
      <w:lvlJc w:val="left"/>
      <w:pPr>
        <w:ind w:left="796" w:hanging="446"/>
      </w:pPr>
      <w:rPr>
        <w:rFonts w:hint="default" w:ascii="宋体" w:hAnsi="宋体" w:eastAsia="宋体" w:cs="宋体"/>
        <w:w w:val="98"/>
        <w:sz w:val="15"/>
        <w:szCs w:val="15"/>
        <w:lang w:val="zh-CN" w:eastAsia="zh-CN" w:bidi="zh-CN"/>
      </w:rPr>
    </w:lvl>
    <w:lvl w:ilvl="1" w:tentative="0">
      <w:start w:val="0"/>
      <w:numFmt w:val="bullet"/>
      <w:lvlText w:val="•"/>
      <w:lvlJc w:val="left"/>
      <w:pPr>
        <w:ind w:left="1774" w:hanging="446"/>
      </w:pPr>
      <w:rPr>
        <w:rFonts w:hint="default"/>
        <w:lang w:val="zh-CN" w:eastAsia="zh-CN" w:bidi="zh-CN"/>
      </w:rPr>
    </w:lvl>
    <w:lvl w:ilvl="2" w:tentative="0">
      <w:start w:val="0"/>
      <w:numFmt w:val="bullet"/>
      <w:lvlText w:val="•"/>
      <w:lvlJc w:val="left"/>
      <w:pPr>
        <w:ind w:left="2748" w:hanging="446"/>
      </w:pPr>
      <w:rPr>
        <w:rFonts w:hint="default"/>
        <w:lang w:val="zh-CN" w:eastAsia="zh-CN" w:bidi="zh-CN"/>
      </w:rPr>
    </w:lvl>
    <w:lvl w:ilvl="3" w:tentative="0">
      <w:start w:val="0"/>
      <w:numFmt w:val="bullet"/>
      <w:lvlText w:val="•"/>
      <w:lvlJc w:val="left"/>
      <w:pPr>
        <w:ind w:left="3722" w:hanging="446"/>
      </w:pPr>
      <w:rPr>
        <w:rFonts w:hint="default"/>
        <w:lang w:val="zh-CN" w:eastAsia="zh-CN" w:bidi="zh-CN"/>
      </w:rPr>
    </w:lvl>
    <w:lvl w:ilvl="4" w:tentative="0">
      <w:start w:val="0"/>
      <w:numFmt w:val="bullet"/>
      <w:lvlText w:val="•"/>
      <w:lvlJc w:val="left"/>
      <w:pPr>
        <w:ind w:left="4696" w:hanging="446"/>
      </w:pPr>
      <w:rPr>
        <w:rFonts w:hint="default"/>
        <w:lang w:val="zh-CN" w:eastAsia="zh-CN" w:bidi="zh-CN"/>
      </w:rPr>
    </w:lvl>
    <w:lvl w:ilvl="5" w:tentative="0">
      <w:start w:val="0"/>
      <w:numFmt w:val="bullet"/>
      <w:lvlText w:val="•"/>
      <w:lvlJc w:val="left"/>
      <w:pPr>
        <w:ind w:left="5670" w:hanging="446"/>
      </w:pPr>
      <w:rPr>
        <w:rFonts w:hint="default"/>
        <w:lang w:val="zh-CN" w:eastAsia="zh-CN" w:bidi="zh-CN"/>
      </w:rPr>
    </w:lvl>
    <w:lvl w:ilvl="6" w:tentative="0">
      <w:start w:val="0"/>
      <w:numFmt w:val="bullet"/>
      <w:lvlText w:val="•"/>
      <w:lvlJc w:val="left"/>
      <w:pPr>
        <w:ind w:left="6644" w:hanging="446"/>
      </w:pPr>
      <w:rPr>
        <w:rFonts w:hint="default"/>
        <w:lang w:val="zh-CN" w:eastAsia="zh-CN" w:bidi="zh-CN"/>
      </w:rPr>
    </w:lvl>
    <w:lvl w:ilvl="7" w:tentative="0">
      <w:start w:val="0"/>
      <w:numFmt w:val="bullet"/>
      <w:lvlText w:val="•"/>
      <w:lvlJc w:val="left"/>
      <w:pPr>
        <w:ind w:left="7618" w:hanging="446"/>
      </w:pPr>
      <w:rPr>
        <w:rFonts w:hint="default"/>
        <w:lang w:val="zh-CN" w:eastAsia="zh-CN" w:bidi="zh-CN"/>
      </w:rPr>
    </w:lvl>
    <w:lvl w:ilvl="8" w:tentative="0">
      <w:start w:val="0"/>
      <w:numFmt w:val="bullet"/>
      <w:lvlText w:val="•"/>
      <w:lvlJc w:val="left"/>
      <w:pPr>
        <w:ind w:left="8592" w:hanging="446"/>
      </w:pPr>
      <w:rPr>
        <w:rFonts w:hint="default"/>
        <w:lang w:val="zh-CN" w:eastAsia="zh-CN" w:bidi="zh-CN"/>
      </w:rPr>
    </w:lvl>
  </w:abstractNum>
  <w:abstractNum w:abstractNumId="7">
    <w:nsid w:val="0EF21C84"/>
    <w:multiLevelType w:val="multilevel"/>
    <w:tmpl w:val="0EF21C84"/>
    <w:lvl w:ilvl="0" w:tentative="0">
      <w:start w:val="1"/>
      <w:numFmt w:val="japaneseCounting"/>
      <w:lvlText w:val="%1、"/>
      <w:lvlJc w:val="left"/>
      <w:pPr>
        <w:ind w:left="525" w:hanging="42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8">
    <w:nsid w:val="11BBAE1D"/>
    <w:multiLevelType w:val="singleLevel"/>
    <w:tmpl w:val="11BBAE1D"/>
    <w:lvl w:ilvl="0" w:tentative="0">
      <w:start w:val="1"/>
      <w:numFmt w:val="chineseCounting"/>
      <w:suff w:val="nothing"/>
      <w:lvlText w:val="%1、"/>
      <w:lvlJc w:val="left"/>
      <w:rPr>
        <w:rFonts w:hint="eastAsia"/>
      </w:rPr>
    </w:lvl>
  </w:abstractNum>
  <w:abstractNum w:abstractNumId="9">
    <w:nsid w:val="1CFCF95C"/>
    <w:multiLevelType w:val="singleLevel"/>
    <w:tmpl w:val="1CFCF95C"/>
    <w:lvl w:ilvl="0" w:tentative="0">
      <w:start w:val="3"/>
      <w:numFmt w:val="decimal"/>
      <w:suff w:val="nothing"/>
      <w:lvlText w:val="%1、"/>
      <w:lvlJc w:val="left"/>
    </w:lvl>
  </w:abstractNum>
  <w:abstractNum w:abstractNumId="10">
    <w:nsid w:val="25B654F3"/>
    <w:multiLevelType w:val="multilevel"/>
    <w:tmpl w:val="25B654F3"/>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1">
    <w:nsid w:val="2A8F537B"/>
    <w:multiLevelType w:val="multilevel"/>
    <w:tmpl w:val="2A8F537B"/>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2">
    <w:nsid w:val="59ADCABA"/>
    <w:multiLevelType w:val="multilevel"/>
    <w:tmpl w:val="59ADCABA"/>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3">
    <w:nsid w:val="72183CF9"/>
    <w:multiLevelType w:val="multilevel"/>
    <w:tmpl w:val="72183CF9"/>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num w:numId="1">
    <w:abstractNumId w:val="8"/>
  </w:num>
  <w:num w:numId="2">
    <w:abstractNumId w:val="9"/>
  </w:num>
  <w:num w:numId="3">
    <w:abstractNumId w:val="7"/>
  </w:num>
  <w:num w:numId="4">
    <w:abstractNumId w:val="4"/>
  </w:num>
  <w:num w:numId="5">
    <w:abstractNumId w:val="3"/>
  </w:num>
  <w:num w:numId="6">
    <w:abstractNumId w:val="12"/>
  </w:num>
  <w:num w:numId="7">
    <w:abstractNumId w:val="2"/>
  </w:num>
  <w:num w:numId="8">
    <w:abstractNumId w:val="1"/>
  </w:num>
  <w:num w:numId="9">
    <w:abstractNumId w:val="6"/>
  </w:num>
  <w:num w:numId="10">
    <w:abstractNumId w:val="10"/>
  </w:num>
  <w:num w:numId="11">
    <w:abstractNumId w:val="13"/>
  </w:num>
  <w:num w:numId="12">
    <w:abstractNumId w:val="5"/>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21B1A"/>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2B15ED7"/>
    <w:rsid w:val="032B7EBE"/>
    <w:rsid w:val="037819C8"/>
    <w:rsid w:val="04165086"/>
    <w:rsid w:val="079468F0"/>
    <w:rsid w:val="0A277157"/>
    <w:rsid w:val="0A323667"/>
    <w:rsid w:val="0B691EBF"/>
    <w:rsid w:val="0D6B27A0"/>
    <w:rsid w:val="0D737863"/>
    <w:rsid w:val="10827943"/>
    <w:rsid w:val="11D15B1C"/>
    <w:rsid w:val="11D56F8A"/>
    <w:rsid w:val="129A029D"/>
    <w:rsid w:val="12C9410A"/>
    <w:rsid w:val="14C02644"/>
    <w:rsid w:val="157B401A"/>
    <w:rsid w:val="165B3C1A"/>
    <w:rsid w:val="17453125"/>
    <w:rsid w:val="184F31D7"/>
    <w:rsid w:val="1A2E6DE6"/>
    <w:rsid w:val="1D4821A9"/>
    <w:rsid w:val="202B56B1"/>
    <w:rsid w:val="22723315"/>
    <w:rsid w:val="22CF7097"/>
    <w:rsid w:val="232E51F6"/>
    <w:rsid w:val="23884864"/>
    <w:rsid w:val="27E45486"/>
    <w:rsid w:val="2B057E38"/>
    <w:rsid w:val="2BA52826"/>
    <w:rsid w:val="2D7F5632"/>
    <w:rsid w:val="2EB05F76"/>
    <w:rsid w:val="2FBD42B3"/>
    <w:rsid w:val="30D412A1"/>
    <w:rsid w:val="30E84F1F"/>
    <w:rsid w:val="31502938"/>
    <w:rsid w:val="316641F0"/>
    <w:rsid w:val="31F8416E"/>
    <w:rsid w:val="32CE7A3F"/>
    <w:rsid w:val="33951D5C"/>
    <w:rsid w:val="34117E05"/>
    <w:rsid w:val="351B0D6F"/>
    <w:rsid w:val="35633FD8"/>
    <w:rsid w:val="37C66C9B"/>
    <w:rsid w:val="3BB420F5"/>
    <w:rsid w:val="3DB75172"/>
    <w:rsid w:val="3F1B3C4A"/>
    <w:rsid w:val="402E62DF"/>
    <w:rsid w:val="402F4957"/>
    <w:rsid w:val="405108FA"/>
    <w:rsid w:val="4136403A"/>
    <w:rsid w:val="41EF774F"/>
    <w:rsid w:val="42660058"/>
    <w:rsid w:val="43824C1A"/>
    <w:rsid w:val="449C5243"/>
    <w:rsid w:val="449E2D2B"/>
    <w:rsid w:val="46094A05"/>
    <w:rsid w:val="460A3EB2"/>
    <w:rsid w:val="473E1081"/>
    <w:rsid w:val="477517FF"/>
    <w:rsid w:val="479F5F87"/>
    <w:rsid w:val="497E50E4"/>
    <w:rsid w:val="49CC2349"/>
    <w:rsid w:val="4A254910"/>
    <w:rsid w:val="4B956476"/>
    <w:rsid w:val="4D3D3121"/>
    <w:rsid w:val="4DCB17F7"/>
    <w:rsid w:val="53423D16"/>
    <w:rsid w:val="534B0A6F"/>
    <w:rsid w:val="539D45B7"/>
    <w:rsid w:val="53CA557A"/>
    <w:rsid w:val="545A32FC"/>
    <w:rsid w:val="547D6E0D"/>
    <w:rsid w:val="584110E8"/>
    <w:rsid w:val="587C329C"/>
    <w:rsid w:val="595B205E"/>
    <w:rsid w:val="5A4777C5"/>
    <w:rsid w:val="5A6E001E"/>
    <w:rsid w:val="5DEC7787"/>
    <w:rsid w:val="5DFE7766"/>
    <w:rsid w:val="60F93F09"/>
    <w:rsid w:val="683E0693"/>
    <w:rsid w:val="685E7C65"/>
    <w:rsid w:val="68AB5C34"/>
    <w:rsid w:val="698F00A6"/>
    <w:rsid w:val="6A800692"/>
    <w:rsid w:val="6BF3478F"/>
    <w:rsid w:val="6DE10695"/>
    <w:rsid w:val="6E6658CD"/>
    <w:rsid w:val="6EB77E56"/>
    <w:rsid w:val="6F1A55B9"/>
    <w:rsid w:val="711B411C"/>
    <w:rsid w:val="7392213F"/>
    <w:rsid w:val="739F5CC0"/>
    <w:rsid w:val="748F3673"/>
    <w:rsid w:val="772F4719"/>
    <w:rsid w:val="773504DF"/>
    <w:rsid w:val="78667688"/>
    <w:rsid w:val="7A192AA7"/>
    <w:rsid w:val="7B395E66"/>
    <w:rsid w:val="7C4831AB"/>
    <w:rsid w:val="7E4702F4"/>
    <w:rsid w:val="7FDA2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200" w:firstLineChars="200"/>
    </w:pPr>
    <w:rPr>
      <w:rFonts w:ascii="仿宋_GB2312" w:hAnsi="Times New Roman" w:eastAsia="仿宋_GB2312"/>
      <w:sz w:val="30"/>
      <w:szCs w:val="30"/>
    </w:rPr>
  </w:style>
  <w:style w:type="paragraph" w:styleId="3">
    <w:name w:val="Body Text"/>
    <w:basedOn w:val="1"/>
    <w:qFormat/>
    <w:uiPriority w:val="1"/>
    <w:pPr>
      <w:autoSpaceDE w:val="0"/>
      <w:autoSpaceDN w:val="0"/>
      <w:jc w:val="left"/>
    </w:pPr>
    <w:rPr>
      <w:rFonts w:ascii="宋体" w:hAnsi="宋体" w:eastAsia="宋体" w:cs="宋体"/>
      <w:kern w:val="0"/>
      <w:sz w:val="17"/>
      <w:szCs w:val="17"/>
      <w:lang w:val="zh-CN" w:bidi="zh-CN"/>
    </w:rPr>
  </w:style>
  <w:style w:type="paragraph" w:styleId="5">
    <w:name w:val="Plain Text"/>
    <w:basedOn w:val="1"/>
    <w:qFormat/>
    <w:uiPriority w:val="0"/>
    <w:rPr>
      <w:rFonts w:ascii="宋体" w:hAnsi="Courier New" w:cs="Courier New"/>
      <w:szCs w:val="21"/>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table" w:styleId="11">
    <w:name w:val="Table Grid"/>
    <w:basedOn w:val="10"/>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character" w:styleId="14">
    <w:name w:val="Emphasis"/>
    <w:qFormat/>
    <w:uiPriority w:val="20"/>
    <w:rPr>
      <w:i/>
      <w:iCs/>
    </w:rPr>
  </w:style>
  <w:style w:type="character" w:customStyle="1" w:styleId="15">
    <w:name w:val="页眉 Char"/>
    <w:basedOn w:val="12"/>
    <w:link w:val="7"/>
    <w:qFormat/>
    <w:uiPriority w:val="99"/>
    <w:rPr>
      <w:sz w:val="18"/>
      <w:szCs w:val="18"/>
    </w:rPr>
  </w:style>
  <w:style w:type="character" w:customStyle="1" w:styleId="16">
    <w:name w:val="页脚 Char"/>
    <w:basedOn w:val="12"/>
    <w:link w:val="6"/>
    <w:qFormat/>
    <w:uiPriority w:val="99"/>
    <w:rPr>
      <w:sz w:val="18"/>
      <w:szCs w:val="18"/>
    </w:rPr>
  </w:style>
  <w:style w:type="paragraph" w:customStyle="1" w:styleId="17">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18">
    <w:name w:val="List Paragraph"/>
    <w:basedOn w:val="1"/>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19">
    <w:name w:val="NormalCharacter"/>
    <w:semiHidden/>
    <w:qFormat/>
    <w:uiPriority w:val="0"/>
  </w:style>
  <w:style w:type="character" w:customStyle="1" w:styleId="20">
    <w:name w:val="font3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 w:type="character" w:customStyle="1" w:styleId="22">
    <w:name w:val="font41"/>
    <w:basedOn w:val="12"/>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10</Pages>
  <Words>6775</Words>
  <Characters>7040</Characters>
  <Lines>6</Lines>
  <Paragraphs>1</Paragraphs>
  <TotalTime>0</TotalTime>
  <ScaleCrop>false</ScaleCrop>
  <LinksUpToDate>false</LinksUpToDate>
  <CharactersWithSpaces>7542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2022-05-03T08:14:16Z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2052-11.1.0.11636</vt:lpwstr>
  </property>
  <property fmtid="{D5CDD505-2E9C-101B-9397-08002B2CF9AE}" pid="4" name="ICV">
    <vt:lpwstr>99012001CC8449E1B44B4987A03F7E88</vt:lpwstr>
  </property>
</Properties>
</file>