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keepLines/>
        <w:widowControl w:val="0"/>
        <w:numPr>
          <w:ilvl w:val="0"/>
          <w:numId w:val="1"/>
        </w:numPr>
        <w:spacing w:before="340" w:after="330" w:line="578" w:lineRule="auto"/>
        <w:jc w:val="center"/>
        <w:outlineLvl w:val="0"/>
        <w:rPr>
          <w:sz w:val="28"/>
          <w:szCs w:val="28"/>
        </w:rPr>
      </w:pPr>
      <w:bookmarkStart w:id="0" w:name="_Toc81213844"/>
      <w:r>
        <w:rPr>
          <w:rFonts w:hint="eastAsia" w:ascii="仿宋" w:hAnsi="仿宋" w:eastAsia="仿宋"/>
          <w:b/>
          <w:bCs/>
          <w:kern w:val="2"/>
          <w:sz w:val="44"/>
          <w:szCs w:val="32"/>
        </w:rPr>
        <w:t>核酸混采系统改造</w:t>
      </w:r>
      <w:bookmarkEnd w:id="0"/>
      <w:bookmarkStart w:id="1" w:name="_Toc47641347"/>
      <w:bookmarkEnd w:id="1"/>
      <w:bookmarkStart w:id="2" w:name="_Toc44407122"/>
      <w:bookmarkEnd w:id="2"/>
      <w:bookmarkStart w:id="3" w:name="_Toc43818303"/>
      <w:bookmarkEnd w:id="3"/>
      <w:bookmarkStart w:id="4" w:name="_Toc78450107"/>
      <w:bookmarkEnd w:id="4"/>
      <w:bookmarkStart w:id="5" w:name="_Toc47641195"/>
      <w:bookmarkEnd w:id="5"/>
      <w:bookmarkStart w:id="6" w:name="_Toc35542876"/>
      <w:bookmarkEnd w:id="6"/>
      <w:bookmarkStart w:id="7" w:name="_Toc47684186"/>
      <w:bookmarkEnd w:id="7"/>
      <w:bookmarkStart w:id="8" w:name="_Toc44407215"/>
      <w:bookmarkEnd w:id="8"/>
      <w:bookmarkStart w:id="9" w:name="_Toc78450108"/>
      <w:bookmarkEnd w:id="9"/>
      <w:bookmarkStart w:id="10" w:name="_Toc79158840"/>
      <w:bookmarkEnd w:id="10"/>
      <w:bookmarkStart w:id="11" w:name="_Toc36832994"/>
      <w:bookmarkEnd w:id="11"/>
      <w:bookmarkStart w:id="12" w:name="_Toc35529875"/>
      <w:bookmarkEnd w:id="12"/>
      <w:bookmarkStart w:id="13" w:name="_Toc44407216"/>
      <w:bookmarkEnd w:id="13"/>
      <w:bookmarkStart w:id="14" w:name="_Toc34212674"/>
      <w:bookmarkEnd w:id="14"/>
      <w:bookmarkStart w:id="15" w:name="_Toc36468378"/>
      <w:bookmarkEnd w:id="15"/>
      <w:bookmarkStart w:id="16" w:name="_Toc47684187"/>
      <w:bookmarkEnd w:id="16"/>
      <w:bookmarkStart w:id="17" w:name="_Toc47685963"/>
      <w:bookmarkEnd w:id="17"/>
      <w:bookmarkStart w:id="18" w:name="_Toc38473376"/>
      <w:bookmarkEnd w:id="18"/>
      <w:bookmarkStart w:id="19" w:name="_Toc79158839"/>
      <w:bookmarkEnd w:id="19"/>
      <w:bookmarkStart w:id="20" w:name="_Toc29798367"/>
      <w:bookmarkEnd w:id="20"/>
      <w:bookmarkStart w:id="21" w:name="_Toc46847252"/>
      <w:bookmarkEnd w:id="21"/>
      <w:bookmarkStart w:id="22" w:name="_Toc25690311"/>
      <w:bookmarkEnd w:id="22"/>
      <w:bookmarkStart w:id="23" w:name="_Toc47641100"/>
      <w:bookmarkEnd w:id="23"/>
      <w:bookmarkStart w:id="24" w:name="_Toc46847150"/>
      <w:bookmarkEnd w:id="24"/>
      <w:bookmarkStart w:id="25" w:name="_Toc79518197"/>
      <w:bookmarkEnd w:id="25"/>
      <w:bookmarkStart w:id="26" w:name="_Toc36907226"/>
      <w:bookmarkEnd w:id="26"/>
      <w:bookmarkStart w:id="27" w:name="_Toc54772241"/>
      <w:bookmarkEnd w:id="27"/>
      <w:bookmarkStart w:id="28" w:name="_Toc38376925"/>
      <w:bookmarkEnd w:id="28"/>
      <w:bookmarkStart w:id="29" w:name="_Toc34212589"/>
      <w:bookmarkEnd w:id="29"/>
      <w:bookmarkStart w:id="30" w:name="_Toc78450295"/>
      <w:bookmarkEnd w:id="30"/>
      <w:bookmarkStart w:id="31" w:name="_Toc44407123"/>
      <w:bookmarkEnd w:id="31"/>
      <w:bookmarkStart w:id="32" w:name="_Toc47685964"/>
      <w:bookmarkEnd w:id="32"/>
      <w:bookmarkStart w:id="33" w:name="_Toc46847253"/>
      <w:bookmarkEnd w:id="33"/>
      <w:bookmarkStart w:id="34" w:name="_Toc79518196"/>
      <w:bookmarkEnd w:id="34"/>
      <w:bookmarkStart w:id="35" w:name="_Toc78450296"/>
      <w:bookmarkEnd w:id="35"/>
      <w:bookmarkStart w:id="36" w:name="_Toc54772240"/>
      <w:bookmarkEnd w:id="36"/>
      <w:bookmarkStart w:id="37" w:name="_Toc43818304"/>
      <w:bookmarkEnd w:id="37"/>
      <w:bookmarkStart w:id="38" w:name="_Toc46847151"/>
      <w:bookmarkEnd w:id="38"/>
      <w:bookmarkStart w:id="39" w:name="_Toc47641196"/>
      <w:bookmarkEnd w:id="39"/>
      <w:bookmarkStart w:id="40" w:name="_Toc47641101"/>
      <w:bookmarkEnd w:id="40"/>
      <w:bookmarkStart w:id="41" w:name="_Toc47641346"/>
      <w:bookmarkEnd w:id="41"/>
      <w:r>
        <w:rPr>
          <w:rFonts w:hint="eastAsia" w:ascii="仿宋" w:hAnsi="仿宋" w:eastAsia="仿宋"/>
          <w:b/>
          <w:bCs/>
          <w:kern w:val="2"/>
          <w:sz w:val="44"/>
          <w:szCs w:val="32"/>
        </w:rPr>
        <w:t xml:space="preserve">   </w:t>
      </w:r>
      <w:r>
        <w:rPr>
          <w:rFonts w:hint="eastAsia" w:ascii="仿宋" w:hAnsi="仿宋" w:eastAsia="仿宋"/>
          <w:b/>
          <w:bCs/>
          <w:kern w:val="2"/>
          <w:sz w:val="28"/>
          <w:szCs w:val="28"/>
        </w:rPr>
        <w:t xml:space="preserve"> 预算10万</w:t>
      </w:r>
    </w:p>
    <w:p>
      <w:pPr>
        <w:pStyle w:val="3"/>
      </w:pPr>
      <w:bookmarkStart w:id="42" w:name="_Toc81213845"/>
      <w:r>
        <w:rPr>
          <w:rFonts w:hint="eastAsia"/>
        </w:rPr>
        <w:t>建设目标</w:t>
      </w:r>
      <w:bookmarkEnd w:id="42"/>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为适应当前核酸检测日益增长的工作需求，规范核酸检测的基础工作，提高核酸检测工作效率，建设核酸检测信息平台，针对新冠肺炎检测，从标本采集到检测报告全流程进行信息化管理，实现了身份信息自动录入、标本转运、检测信息追踪等全流程功能，实现标本数据来源溯源和流向追踪，同时实现核酸检测信息的协同处理和数据共享，数据上传至温州市卫健一级共享平台，使疾控中心可以更加准确的把握核酸检测的状况，为管理部门数据需求分析、为疫情分析提供数据支持。</w:t>
      </w:r>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进一步延伸“互联网+医疗”的应用服务范围，向患者提供更便捷、高效的移动医疗服务，优化患者就医服务体验，升级核酸检测预约服务；增加核酸混采功能开发改造。患者可通过医院的自助机及自有移动设备端的微信公众号上完成核酸检测的预约、缴费等操作，减少院内停留时间，降低交叉感染风险，提高患者就医满意度。</w:t>
      </w:r>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1）核酸混采功能改造开发。</w:t>
      </w:r>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混采信息系统可通过唯一标签进行5人以上至10人的身份识别，采用条码进行检测全流程追溯，并能生成相应的报告结果及报表。</w:t>
      </w:r>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2）提高医院便民服务能力。</w:t>
      </w:r>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向患者提供更便捷、高效的移动医疗服务，优化患者就医服务体验，升级核酸检测预约服务；增加核酸混采功能开发改造。患者可通过医院的自助机及自有移动设备端的微信公众号上完成核酸检测的预约、缴费等操作，减少院内停留时间，降低交叉感染风险，提高患者就医满意度。</w:t>
      </w:r>
    </w:p>
    <w:p>
      <w:pPr>
        <w:pStyle w:val="3"/>
      </w:pPr>
      <w:bookmarkStart w:id="43" w:name="_Toc81213846"/>
      <w:r>
        <w:rPr>
          <w:rFonts w:hint="eastAsia"/>
        </w:rPr>
        <w:t>建设原则</w:t>
      </w:r>
      <w:bookmarkEnd w:id="43"/>
    </w:p>
    <w:p>
      <w:pPr>
        <w:pStyle w:val="8"/>
        <w:spacing w:before="156" w:beforeLines="50" w:after="156" w:afterLines="50"/>
        <w:ind w:firstLine="562" w:firstLineChars="200"/>
        <w:rPr>
          <w:rFonts w:ascii="仿宋" w:hAnsi="仿宋" w:eastAsia="仿宋"/>
          <w:b/>
          <w:sz w:val="28"/>
          <w:szCs w:val="28"/>
        </w:rPr>
      </w:pPr>
      <w:r>
        <w:rPr>
          <w:rFonts w:hint="eastAsia" w:ascii="仿宋" w:hAnsi="仿宋" w:eastAsia="仿宋"/>
          <w:b/>
          <w:sz w:val="28"/>
          <w:szCs w:val="28"/>
        </w:rPr>
        <w:t>在本系统的建设过程中，将遵循以下几个原则：</w:t>
      </w:r>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1）实时性与可靠性原则</w:t>
      </w:r>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核酸混采信息系统改造业务处理、信息交换十分频繁，在开单及检测过程中要求系统连续无故障运行。系统的实时性与可靠性直接关系到核酸采集业务的正常开展，以及客户对医院的满意度。</w:t>
      </w:r>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2）扩展性与开放性原则</w:t>
      </w:r>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为适应不断发展的医院核酸采集业务，系统具备了良好的扩展性、开放性和移植性，系统内部采用面向对象的多层结构设计，对外提供XML，W</w:t>
      </w:r>
      <w:r>
        <w:rPr>
          <w:rFonts w:ascii="仿宋" w:hAnsi="仿宋" w:eastAsia="仿宋"/>
          <w:sz w:val="28"/>
          <w:szCs w:val="28"/>
        </w:rPr>
        <w:t>eb</w:t>
      </w:r>
      <w:r>
        <w:rPr>
          <w:rFonts w:hint="eastAsia" w:ascii="仿宋" w:hAnsi="仿宋" w:eastAsia="仿宋"/>
          <w:sz w:val="28"/>
          <w:szCs w:val="28"/>
        </w:rPr>
        <w:t xml:space="preserve"> S</w:t>
      </w:r>
      <w:r>
        <w:rPr>
          <w:rFonts w:ascii="仿宋" w:hAnsi="仿宋" w:eastAsia="仿宋"/>
          <w:sz w:val="28"/>
          <w:szCs w:val="28"/>
        </w:rPr>
        <w:t>ervice</w:t>
      </w:r>
      <w:r>
        <w:rPr>
          <w:rFonts w:hint="eastAsia" w:ascii="仿宋" w:hAnsi="仿宋" w:eastAsia="仿宋"/>
          <w:sz w:val="28"/>
          <w:szCs w:val="28"/>
        </w:rPr>
        <w:t>等接口，支持业界通用的标准平台和协议，提供HL7标准接口，以便进行系统集成和系统资料交换。</w:t>
      </w:r>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3）易操作性与可维护性原则</w:t>
      </w:r>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快速录入患者资料是系统改造后必须具备的重要功能，采用人类行为工程学原理进行人性化和个性化设计，实现人机界面友好、直观、清楚、统一。系统提供大量模板工具供用户选择，系统维护简单方便。</w:t>
      </w:r>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4）安全性原则</w:t>
      </w:r>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系统结果的准确性，系统的安全性属于优先考虑的指标。在系统设计阶段必须从各个角度、各个方面充分考虑整个系统的安全性，另外系统中所有的重要操作必须保留操作痕迹，以规范管理。按照每个用户所在的岗位和所需完成的业务，由系统管理员分配权限，每个用户只能看到他/她所允许和应该看到的信息，和进行授权的操作。</w:t>
      </w:r>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6）标准化与规范性原则</w:t>
      </w:r>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平台遵循与满足如下标准规范：</w:t>
      </w:r>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《浙江省新型冠状病毒肺炎疫情防控工作领导小组办公室》省疫情防控办【2021】31号文件</w:t>
      </w:r>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《浙江省大规模新冠病毒核酸检测工作预案》</w:t>
      </w:r>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《病历书写规范》（浙江省医疗机构管理与诊疗技术规范丛书）</w:t>
      </w:r>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《电子病历系统应用水平分级评价标准》2018版</w:t>
      </w:r>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《医院信息互联互通标准化成熟度测评方案》2020年版。</w:t>
      </w:r>
    </w:p>
    <w:p>
      <w:pPr>
        <w:pStyle w:val="3"/>
      </w:pPr>
      <w:bookmarkStart w:id="44" w:name="_Toc81213847"/>
      <w:r>
        <w:rPr>
          <w:rFonts w:hint="eastAsia"/>
        </w:rPr>
        <w:t>建设</w:t>
      </w:r>
      <w:r>
        <w:t>内容</w:t>
      </w:r>
      <w:bookmarkEnd w:id="44"/>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本次项目建设内容包括：核酸混采系统医生工作站改造、检验LIS工作站改造、自助机检验核酸开单及缴费改造、线上手机终端开单及缴费改造、报表系统等。</w:t>
      </w:r>
    </w:p>
    <w:p>
      <w:pPr>
        <w:pStyle w:val="8"/>
        <w:numPr>
          <w:ilvl w:val="0"/>
          <w:numId w:val="2"/>
        </w:numPr>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医生工作站改造</w:t>
      </w:r>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从标本采集到检测报告全流程进行信息化管理，实现了身份信息自动录入、标本转运、检测信息追踪等全流程功能，实现标本数据来源溯源和流向追踪，同时实现核酸检测信息的协同处理和数据共享，达到核酸混采的数据处理功能。</w:t>
      </w:r>
    </w:p>
    <w:p>
      <w:pPr>
        <w:pStyle w:val="8"/>
        <w:numPr>
          <w:ilvl w:val="0"/>
          <w:numId w:val="2"/>
        </w:numPr>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检验LIS工作站改造</w:t>
      </w:r>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在整个核酸标本流转与接收环节中，实现检测标本交接管理，标本状态实时更新与报告发布，标本接收登记，标本结果检测与采集，报告审核，报告发布管理，质控信息维护，质控数据管理，统计分析功能，受检标本统计，检测项目工作量统计，阳性率统计，标本检测TAT分析。</w:t>
      </w:r>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3）自助机及线上系统改造</w:t>
      </w:r>
    </w:p>
    <w:p>
      <w:pPr>
        <w:pStyle w:val="8"/>
        <w:numPr>
          <w:ilvl w:val="0"/>
          <w:numId w:val="3"/>
        </w:numPr>
        <w:spacing w:before="156" w:beforeLines="50" w:after="156" w:afterLines="50"/>
        <w:rPr>
          <w:rFonts w:ascii="仿宋" w:hAnsi="仿宋" w:eastAsia="仿宋"/>
          <w:sz w:val="28"/>
          <w:szCs w:val="28"/>
        </w:rPr>
      </w:pPr>
      <w:r>
        <w:rPr>
          <w:rFonts w:hint="eastAsia" w:ascii="仿宋" w:hAnsi="仿宋" w:eastAsia="仿宋"/>
          <w:sz w:val="28"/>
          <w:szCs w:val="28"/>
        </w:rPr>
        <w:t>患者可通过自助机端或移动手机端（“温州市中医院</w:t>
      </w:r>
      <w:r>
        <w:rPr>
          <w:rFonts w:hint="eastAsia" w:ascii="仿宋" w:hAnsi="仿宋" w:eastAsia="仿宋"/>
          <w:color w:val="FF0000"/>
          <w:sz w:val="28"/>
          <w:szCs w:val="28"/>
          <w:lang w:val="en-US" w:eastAsia="zh-CN"/>
        </w:rPr>
        <w:t>移动服务平台</w:t>
      </w:r>
      <w:r>
        <w:rPr>
          <w:rFonts w:hint="eastAsia" w:ascii="仿宋" w:hAnsi="仿宋" w:eastAsia="仿宋"/>
          <w:sz w:val="28"/>
          <w:szCs w:val="28"/>
        </w:rPr>
        <w:t>”微信公众号）界面中快速查找到核酸检测预约项目进行预约操作。</w:t>
      </w:r>
    </w:p>
    <w:p>
      <w:pPr>
        <w:pStyle w:val="8"/>
        <w:numPr>
          <w:ilvl w:val="0"/>
          <w:numId w:val="3"/>
        </w:numPr>
        <w:spacing w:before="156" w:beforeLines="50" w:after="156" w:afterLines="50"/>
        <w:rPr>
          <w:rFonts w:ascii="仿宋" w:hAnsi="仿宋" w:eastAsia="仿宋"/>
          <w:sz w:val="28"/>
          <w:szCs w:val="28"/>
        </w:rPr>
      </w:pPr>
      <w:r>
        <w:rPr>
          <w:rFonts w:hint="eastAsia" w:ascii="仿宋" w:hAnsi="仿宋" w:eastAsia="仿宋"/>
          <w:sz w:val="28"/>
          <w:szCs w:val="28"/>
        </w:rPr>
        <w:t>患者可查看核酸检测可预约的时间段，自住选择预约时间段。</w:t>
      </w:r>
    </w:p>
    <w:p>
      <w:pPr>
        <w:pStyle w:val="8"/>
        <w:numPr>
          <w:ilvl w:val="0"/>
          <w:numId w:val="3"/>
        </w:numPr>
        <w:spacing w:before="156" w:beforeLines="50" w:after="156" w:afterLines="50"/>
        <w:rPr>
          <w:rFonts w:ascii="仿宋" w:hAnsi="仿宋" w:eastAsia="仿宋"/>
          <w:sz w:val="28"/>
          <w:szCs w:val="28"/>
        </w:rPr>
      </w:pPr>
      <w:r>
        <w:rPr>
          <w:rFonts w:hint="eastAsia" w:ascii="仿宋" w:hAnsi="仿宋" w:eastAsia="仿宋"/>
          <w:sz w:val="28"/>
          <w:szCs w:val="28"/>
        </w:rPr>
        <w:t>患者可查看核酸检测的注意事项。</w:t>
      </w:r>
    </w:p>
    <w:p>
      <w:pPr>
        <w:pStyle w:val="8"/>
        <w:numPr>
          <w:ilvl w:val="0"/>
          <w:numId w:val="3"/>
        </w:numPr>
        <w:spacing w:before="156" w:beforeLines="50" w:after="156" w:afterLines="50"/>
        <w:rPr>
          <w:rFonts w:ascii="仿宋" w:hAnsi="仿宋" w:eastAsia="仿宋"/>
          <w:sz w:val="28"/>
          <w:szCs w:val="28"/>
        </w:rPr>
      </w:pPr>
      <w:r>
        <w:rPr>
          <w:rFonts w:hint="eastAsia" w:ascii="仿宋" w:hAnsi="仿宋" w:eastAsia="仿宋"/>
          <w:sz w:val="28"/>
          <w:szCs w:val="28"/>
        </w:rPr>
        <w:t>患者选定时间段进行订单支付前进行核酸检测预约订单的信息确认。</w:t>
      </w:r>
    </w:p>
    <w:p>
      <w:pPr>
        <w:pStyle w:val="8"/>
        <w:numPr>
          <w:ilvl w:val="0"/>
          <w:numId w:val="3"/>
        </w:numPr>
        <w:spacing w:before="156" w:beforeLines="50" w:after="156" w:afterLines="50"/>
        <w:rPr>
          <w:rFonts w:ascii="仿宋" w:hAnsi="仿宋" w:eastAsia="仿宋"/>
          <w:sz w:val="28"/>
          <w:szCs w:val="28"/>
        </w:rPr>
      </w:pPr>
      <w:r>
        <w:rPr>
          <w:rFonts w:hint="eastAsia" w:ascii="仿宋" w:hAnsi="仿宋" w:eastAsia="仿宋"/>
          <w:sz w:val="28"/>
          <w:szCs w:val="28"/>
        </w:rPr>
        <w:t>患者进行核酸检测预约订单的费用支付。</w:t>
      </w:r>
    </w:p>
    <w:p>
      <w:pPr>
        <w:pStyle w:val="8"/>
        <w:numPr>
          <w:ilvl w:val="0"/>
          <w:numId w:val="3"/>
        </w:numPr>
        <w:spacing w:before="156" w:beforeLines="50" w:after="156" w:afterLines="50"/>
        <w:rPr>
          <w:rFonts w:ascii="仿宋" w:hAnsi="仿宋" w:eastAsia="仿宋"/>
          <w:sz w:val="28"/>
          <w:szCs w:val="28"/>
        </w:rPr>
      </w:pPr>
      <w:r>
        <w:rPr>
          <w:rFonts w:hint="eastAsia" w:ascii="仿宋" w:hAnsi="仿宋" w:eastAsia="仿宋"/>
          <w:sz w:val="28"/>
          <w:szCs w:val="28"/>
        </w:rPr>
        <w:t>患者支付成功后，系统自动开具核酸检测申请单并流转至检验系统。</w:t>
      </w:r>
    </w:p>
    <w:p>
      <w:pPr>
        <w:pStyle w:val="8"/>
        <w:numPr>
          <w:ilvl w:val="0"/>
          <w:numId w:val="3"/>
        </w:numPr>
        <w:spacing w:before="156" w:beforeLines="50" w:after="156" w:afterLines="50"/>
        <w:rPr>
          <w:rFonts w:ascii="仿宋" w:hAnsi="仿宋" w:eastAsia="仿宋"/>
          <w:sz w:val="28"/>
          <w:szCs w:val="28"/>
        </w:rPr>
      </w:pPr>
      <w:r>
        <w:rPr>
          <w:rFonts w:hint="eastAsia" w:ascii="仿宋" w:hAnsi="仿宋" w:eastAsia="仿宋"/>
          <w:sz w:val="28"/>
          <w:szCs w:val="28"/>
        </w:rPr>
        <w:t>支持患者查询核酸检测预约记录及取消预约。</w:t>
      </w:r>
    </w:p>
    <w:p>
      <w:pPr>
        <w:pStyle w:val="8"/>
        <w:numPr>
          <w:ilvl w:val="0"/>
          <w:numId w:val="3"/>
        </w:numPr>
        <w:spacing w:before="156" w:beforeLines="50" w:after="156" w:afterLines="50"/>
        <w:rPr>
          <w:rFonts w:ascii="仿宋" w:hAnsi="仿宋" w:eastAsia="仿宋"/>
          <w:sz w:val="28"/>
          <w:szCs w:val="28"/>
        </w:rPr>
      </w:pPr>
      <w:r>
        <w:rPr>
          <w:rFonts w:hint="eastAsia" w:ascii="仿宋" w:hAnsi="仿宋" w:eastAsia="仿宋"/>
          <w:sz w:val="28"/>
          <w:szCs w:val="28"/>
        </w:rPr>
        <w:t>当核酸检测有结果时，通过移动端对患者进行提醒。</w:t>
      </w:r>
    </w:p>
    <w:p>
      <w:pPr>
        <w:pStyle w:val="8"/>
        <w:numPr>
          <w:ilvl w:val="0"/>
          <w:numId w:val="3"/>
        </w:numPr>
        <w:spacing w:before="156" w:beforeLines="50" w:after="156" w:afterLines="50"/>
        <w:rPr>
          <w:rFonts w:ascii="仿宋" w:hAnsi="仿宋" w:eastAsia="仿宋"/>
          <w:sz w:val="28"/>
          <w:szCs w:val="28"/>
        </w:rPr>
      </w:pPr>
      <w:r>
        <w:rPr>
          <w:rFonts w:hint="eastAsia" w:ascii="仿宋" w:hAnsi="仿宋" w:eastAsia="仿宋"/>
          <w:sz w:val="28"/>
          <w:szCs w:val="28"/>
        </w:rPr>
        <w:t>支持患者在移动端查询核酸检测报告。</w:t>
      </w:r>
    </w:p>
    <w:p>
      <w:pPr>
        <w:pStyle w:val="8"/>
        <w:numPr>
          <w:ilvl w:val="0"/>
          <w:numId w:val="3"/>
        </w:numPr>
        <w:spacing w:before="156" w:beforeLines="50" w:after="156" w:afterLines="50"/>
        <w:rPr>
          <w:rFonts w:ascii="仿宋" w:hAnsi="仿宋" w:eastAsia="仿宋"/>
          <w:sz w:val="28"/>
          <w:szCs w:val="28"/>
        </w:rPr>
      </w:pPr>
      <w:r>
        <w:rPr>
          <w:rFonts w:hint="eastAsia" w:ascii="仿宋" w:hAnsi="仿宋" w:eastAsia="仿宋"/>
          <w:sz w:val="28"/>
          <w:szCs w:val="28"/>
        </w:rPr>
        <w:t>在管理端需要提供核酸检测预约订单的查询及对账；提供核酸检测预约注意事项维护等，为院内管理人员提供便捷的查询、统计和管理渠道。</w:t>
      </w:r>
    </w:p>
    <w:p>
      <w:pPr>
        <w:pStyle w:val="3"/>
      </w:pPr>
      <w:bookmarkStart w:id="45" w:name="_Toc81213848"/>
      <w:r>
        <w:rPr>
          <w:rFonts w:hint="eastAsia"/>
        </w:rPr>
        <w:t>系统建设方案</w:t>
      </w:r>
      <w:bookmarkEnd w:id="45"/>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431"/>
        <w:gridCol w:w="1664"/>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52" w:type="dxa"/>
            <w:vAlign w:val="center"/>
          </w:tcPr>
          <w:p>
            <w:pPr>
              <w:pStyle w:val="8"/>
              <w:spacing w:before="156" w:beforeLines="50" w:after="156" w:afterLines="50"/>
              <w:ind w:firstLine="0"/>
              <w:jc w:val="center"/>
              <w:rPr>
                <w:rFonts w:ascii="仿宋" w:hAnsi="仿宋" w:eastAsia="仿宋"/>
                <w:sz w:val="28"/>
                <w:szCs w:val="28"/>
              </w:rPr>
            </w:pPr>
            <w:r>
              <w:rPr>
                <w:rFonts w:hint="eastAsia" w:ascii="仿宋" w:hAnsi="仿宋" w:eastAsia="仿宋"/>
                <w:sz w:val="28"/>
                <w:szCs w:val="28"/>
              </w:rPr>
              <w:t>序号</w:t>
            </w:r>
          </w:p>
        </w:tc>
        <w:tc>
          <w:tcPr>
            <w:tcW w:w="1432" w:type="dxa"/>
            <w:vAlign w:val="center"/>
          </w:tcPr>
          <w:p>
            <w:pPr>
              <w:pStyle w:val="8"/>
              <w:spacing w:before="156" w:beforeLines="50" w:after="156" w:afterLines="50"/>
              <w:ind w:firstLine="0"/>
              <w:jc w:val="center"/>
              <w:rPr>
                <w:rFonts w:ascii="仿宋" w:hAnsi="仿宋" w:eastAsia="仿宋"/>
                <w:sz w:val="28"/>
                <w:szCs w:val="28"/>
              </w:rPr>
            </w:pPr>
            <w:r>
              <w:rPr>
                <w:rFonts w:hint="eastAsia" w:ascii="仿宋" w:hAnsi="仿宋" w:eastAsia="仿宋"/>
                <w:sz w:val="28"/>
                <w:szCs w:val="28"/>
              </w:rPr>
              <w:t>一级功能</w:t>
            </w:r>
          </w:p>
        </w:tc>
        <w:tc>
          <w:tcPr>
            <w:tcW w:w="1665" w:type="dxa"/>
            <w:vAlign w:val="center"/>
          </w:tcPr>
          <w:p>
            <w:pPr>
              <w:pStyle w:val="8"/>
              <w:spacing w:before="156" w:beforeLines="50" w:after="156" w:afterLines="50"/>
              <w:ind w:firstLine="0"/>
              <w:jc w:val="center"/>
              <w:rPr>
                <w:rFonts w:ascii="仿宋" w:hAnsi="仿宋" w:eastAsia="仿宋"/>
                <w:sz w:val="28"/>
                <w:szCs w:val="28"/>
              </w:rPr>
            </w:pPr>
            <w:r>
              <w:rPr>
                <w:rFonts w:hint="eastAsia" w:ascii="仿宋" w:hAnsi="仿宋" w:eastAsia="仿宋"/>
                <w:sz w:val="28"/>
                <w:szCs w:val="28"/>
              </w:rPr>
              <w:t>二级功能</w:t>
            </w:r>
          </w:p>
        </w:tc>
        <w:tc>
          <w:tcPr>
            <w:tcW w:w="4579" w:type="dxa"/>
            <w:vAlign w:val="center"/>
          </w:tcPr>
          <w:p>
            <w:pPr>
              <w:pStyle w:val="8"/>
              <w:spacing w:before="156" w:beforeLines="50" w:after="156" w:afterLines="50"/>
              <w:ind w:firstLine="560" w:firstLineChars="200"/>
              <w:jc w:val="center"/>
              <w:rPr>
                <w:rFonts w:ascii="仿宋" w:hAnsi="仿宋" w:eastAsia="仿宋"/>
                <w:sz w:val="28"/>
                <w:szCs w:val="28"/>
              </w:rPr>
            </w:pPr>
            <w:r>
              <w:rPr>
                <w:rFonts w:hint="eastAsia" w:ascii="仿宋" w:hAnsi="仿宋" w:eastAsia="仿宋"/>
                <w:sz w:val="28"/>
                <w:szCs w:val="28"/>
              </w:rPr>
              <w:t>细化内容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52" w:type="dxa"/>
            <w:vAlign w:val="center"/>
          </w:tcPr>
          <w:p>
            <w:pPr>
              <w:pStyle w:val="8"/>
              <w:spacing w:before="156" w:beforeLines="50" w:after="156" w:afterLines="50"/>
              <w:ind w:firstLine="0"/>
              <w:jc w:val="center"/>
              <w:rPr>
                <w:rFonts w:ascii="仿宋" w:hAnsi="仿宋" w:eastAsia="仿宋"/>
                <w:sz w:val="28"/>
                <w:szCs w:val="28"/>
              </w:rPr>
            </w:pPr>
            <w:r>
              <w:rPr>
                <w:rFonts w:hint="eastAsia" w:ascii="仿宋" w:hAnsi="仿宋" w:eastAsia="仿宋"/>
                <w:sz w:val="28"/>
                <w:szCs w:val="28"/>
              </w:rPr>
              <w:t>1</w:t>
            </w:r>
          </w:p>
        </w:tc>
        <w:tc>
          <w:tcPr>
            <w:tcW w:w="1432" w:type="dxa"/>
            <w:vMerge w:val="restart"/>
            <w:vAlign w:val="center"/>
          </w:tcPr>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医生工作站核酸混采功能</w:t>
            </w:r>
          </w:p>
        </w:tc>
        <w:tc>
          <w:tcPr>
            <w:tcW w:w="1665" w:type="dxa"/>
            <w:vAlign w:val="center"/>
          </w:tcPr>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平台维护及管理</w:t>
            </w:r>
          </w:p>
        </w:tc>
        <w:tc>
          <w:tcPr>
            <w:tcW w:w="4579" w:type="dxa"/>
            <w:vAlign w:val="center"/>
          </w:tcPr>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机构管理</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采集点维护及管理</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采集人员管理</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采集任务管理：采集批次、时间、采集点、采集人员等安排</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混检参数设置</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检测项目设置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52" w:type="dxa"/>
          </w:tcPr>
          <w:p>
            <w:pPr>
              <w:pStyle w:val="8"/>
              <w:spacing w:before="156" w:beforeLines="50" w:after="156" w:afterLines="50"/>
              <w:ind w:firstLine="560" w:firstLineChars="200"/>
              <w:jc w:val="center"/>
              <w:rPr>
                <w:rFonts w:ascii="仿宋" w:hAnsi="仿宋" w:eastAsia="仿宋"/>
                <w:sz w:val="28"/>
                <w:szCs w:val="28"/>
              </w:rPr>
            </w:pPr>
          </w:p>
        </w:tc>
        <w:tc>
          <w:tcPr>
            <w:tcW w:w="1432" w:type="dxa"/>
            <w:vMerge w:val="continue"/>
          </w:tcPr>
          <w:p>
            <w:pPr>
              <w:pStyle w:val="8"/>
              <w:spacing w:before="156" w:beforeLines="50" w:after="156" w:afterLines="50"/>
              <w:ind w:firstLine="560" w:firstLineChars="200"/>
              <w:rPr>
                <w:rFonts w:ascii="仿宋" w:hAnsi="仿宋" w:eastAsia="仿宋"/>
                <w:sz w:val="28"/>
                <w:szCs w:val="28"/>
              </w:rPr>
            </w:pPr>
          </w:p>
        </w:tc>
        <w:tc>
          <w:tcPr>
            <w:tcW w:w="1665" w:type="dxa"/>
          </w:tcPr>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受检信息登记模块</w:t>
            </w:r>
          </w:p>
        </w:tc>
        <w:tc>
          <w:tcPr>
            <w:tcW w:w="4579" w:type="dxa"/>
          </w:tcPr>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个人信息登记：通过身份证、实体卡、电子卡、预约信息对接，自动获取受检人员信息，录入包括接触史、体温、联系方式等信息</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条码管理：支持预置及非预置模式</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登记信息查询、登记信息修改、信息批量导入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52" w:type="dxa"/>
          </w:tcPr>
          <w:p>
            <w:pPr>
              <w:pStyle w:val="8"/>
              <w:spacing w:before="156" w:beforeLines="50" w:after="156" w:afterLines="50"/>
              <w:ind w:firstLine="560" w:firstLineChars="200"/>
              <w:jc w:val="center"/>
              <w:rPr>
                <w:rFonts w:ascii="仿宋" w:hAnsi="仿宋" w:eastAsia="仿宋"/>
                <w:sz w:val="28"/>
                <w:szCs w:val="28"/>
              </w:rPr>
            </w:pPr>
          </w:p>
        </w:tc>
        <w:tc>
          <w:tcPr>
            <w:tcW w:w="1432" w:type="dxa"/>
            <w:vMerge w:val="continue"/>
          </w:tcPr>
          <w:p>
            <w:pPr>
              <w:pStyle w:val="8"/>
              <w:spacing w:before="156" w:beforeLines="50" w:after="156" w:afterLines="50"/>
              <w:ind w:firstLine="560" w:firstLineChars="200"/>
              <w:rPr>
                <w:rFonts w:ascii="仿宋" w:hAnsi="仿宋" w:eastAsia="仿宋"/>
                <w:sz w:val="28"/>
                <w:szCs w:val="28"/>
              </w:rPr>
            </w:pPr>
          </w:p>
        </w:tc>
        <w:tc>
          <w:tcPr>
            <w:tcW w:w="1665" w:type="dxa"/>
          </w:tcPr>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标本采集</w:t>
            </w:r>
          </w:p>
        </w:tc>
        <w:tc>
          <w:tcPr>
            <w:tcW w:w="4579" w:type="dxa"/>
          </w:tcPr>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支持单个采集及混检采集</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混检采集确认、取消采集</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混检标本查询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52" w:type="dxa"/>
          </w:tcPr>
          <w:p>
            <w:pPr>
              <w:pStyle w:val="8"/>
              <w:spacing w:before="156" w:beforeLines="50" w:after="156" w:afterLines="50"/>
              <w:ind w:firstLine="560" w:firstLineChars="200"/>
              <w:jc w:val="center"/>
              <w:rPr>
                <w:rFonts w:ascii="仿宋" w:hAnsi="仿宋" w:eastAsia="仿宋"/>
                <w:sz w:val="28"/>
                <w:szCs w:val="28"/>
              </w:rPr>
            </w:pPr>
          </w:p>
        </w:tc>
        <w:tc>
          <w:tcPr>
            <w:tcW w:w="1432" w:type="dxa"/>
            <w:vMerge w:val="continue"/>
          </w:tcPr>
          <w:p>
            <w:pPr>
              <w:pStyle w:val="8"/>
              <w:spacing w:before="156" w:beforeLines="50" w:after="156" w:afterLines="50"/>
              <w:ind w:firstLine="560" w:firstLineChars="200"/>
              <w:rPr>
                <w:rFonts w:ascii="仿宋" w:hAnsi="仿宋" w:eastAsia="仿宋"/>
                <w:sz w:val="28"/>
                <w:szCs w:val="28"/>
              </w:rPr>
            </w:pPr>
          </w:p>
        </w:tc>
        <w:tc>
          <w:tcPr>
            <w:tcW w:w="1665" w:type="dxa"/>
          </w:tcPr>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报告发布及查阅</w:t>
            </w:r>
          </w:p>
        </w:tc>
        <w:tc>
          <w:tcPr>
            <w:tcW w:w="4579" w:type="dxa"/>
          </w:tcPr>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报告发布管理</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阳性报告查询</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报告查阅与打印</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移动端报告发布对接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52" w:type="dxa"/>
          </w:tcPr>
          <w:p>
            <w:pPr>
              <w:pStyle w:val="8"/>
              <w:spacing w:before="156" w:beforeLines="50" w:after="156" w:afterLines="50"/>
              <w:ind w:firstLine="560" w:firstLineChars="200"/>
              <w:jc w:val="center"/>
              <w:rPr>
                <w:rFonts w:ascii="仿宋" w:hAnsi="仿宋" w:eastAsia="仿宋"/>
                <w:sz w:val="28"/>
                <w:szCs w:val="28"/>
              </w:rPr>
            </w:pPr>
          </w:p>
        </w:tc>
        <w:tc>
          <w:tcPr>
            <w:tcW w:w="1432" w:type="dxa"/>
            <w:vMerge w:val="continue"/>
          </w:tcPr>
          <w:p>
            <w:pPr>
              <w:pStyle w:val="8"/>
              <w:spacing w:before="156" w:beforeLines="50" w:after="156" w:afterLines="50"/>
              <w:ind w:firstLine="560" w:firstLineChars="200"/>
              <w:rPr>
                <w:rFonts w:ascii="仿宋" w:hAnsi="仿宋" w:eastAsia="仿宋"/>
                <w:sz w:val="28"/>
                <w:szCs w:val="28"/>
              </w:rPr>
            </w:pPr>
          </w:p>
        </w:tc>
        <w:tc>
          <w:tcPr>
            <w:tcW w:w="1665" w:type="dxa"/>
          </w:tcPr>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统计分析及上报</w:t>
            </w:r>
          </w:p>
        </w:tc>
        <w:tc>
          <w:tcPr>
            <w:tcW w:w="4579" w:type="dxa"/>
          </w:tcPr>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采集分析：包括采集点、受检人群、受检项目分析</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检测信息上报</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阳性标本分析</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阳性上报</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标本检测TAT分析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52" w:type="dxa"/>
          </w:tcPr>
          <w:p>
            <w:pPr>
              <w:pStyle w:val="8"/>
              <w:spacing w:before="156" w:beforeLines="50" w:after="156" w:afterLines="50"/>
              <w:ind w:firstLine="560" w:firstLineChars="200"/>
              <w:jc w:val="center"/>
              <w:rPr>
                <w:rFonts w:ascii="仿宋" w:hAnsi="仿宋" w:eastAsia="仿宋"/>
                <w:sz w:val="28"/>
                <w:szCs w:val="28"/>
              </w:rPr>
            </w:pPr>
          </w:p>
        </w:tc>
        <w:tc>
          <w:tcPr>
            <w:tcW w:w="1432" w:type="dxa"/>
            <w:vMerge w:val="continue"/>
          </w:tcPr>
          <w:p>
            <w:pPr>
              <w:pStyle w:val="8"/>
              <w:spacing w:before="156" w:beforeLines="50" w:after="156" w:afterLines="50"/>
              <w:ind w:firstLine="560" w:firstLineChars="200"/>
              <w:rPr>
                <w:rFonts w:ascii="仿宋" w:hAnsi="仿宋" w:eastAsia="仿宋"/>
                <w:sz w:val="28"/>
                <w:szCs w:val="28"/>
              </w:rPr>
            </w:pPr>
          </w:p>
        </w:tc>
        <w:tc>
          <w:tcPr>
            <w:tcW w:w="1665" w:type="dxa"/>
          </w:tcPr>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接口管理</w:t>
            </w:r>
          </w:p>
        </w:tc>
        <w:tc>
          <w:tcPr>
            <w:tcW w:w="4579" w:type="dxa"/>
          </w:tcPr>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标本信息查询</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标本状态更新</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报告发布及调阅服务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52" w:type="dxa"/>
          </w:tcPr>
          <w:p>
            <w:pPr>
              <w:pStyle w:val="8"/>
              <w:spacing w:before="156" w:beforeLines="50" w:after="156" w:afterLines="50"/>
              <w:ind w:firstLine="0"/>
              <w:jc w:val="center"/>
              <w:rPr>
                <w:rFonts w:ascii="仿宋" w:hAnsi="仿宋" w:eastAsia="仿宋"/>
                <w:sz w:val="28"/>
                <w:szCs w:val="28"/>
              </w:rPr>
            </w:pPr>
            <w:r>
              <w:rPr>
                <w:rFonts w:hint="eastAsia" w:ascii="仿宋" w:hAnsi="仿宋" w:eastAsia="仿宋"/>
                <w:sz w:val="28"/>
                <w:szCs w:val="28"/>
              </w:rPr>
              <w:t>2</w:t>
            </w:r>
          </w:p>
        </w:tc>
        <w:tc>
          <w:tcPr>
            <w:tcW w:w="1432" w:type="dxa"/>
            <w:vMerge w:val="restart"/>
          </w:tcPr>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检验LIS核酸检测系统改造</w:t>
            </w:r>
          </w:p>
        </w:tc>
        <w:tc>
          <w:tcPr>
            <w:tcW w:w="1665" w:type="dxa"/>
          </w:tcPr>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接收模块</w:t>
            </w:r>
          </w:p>
        </w:tc>
        <w:tc>
          <w:tcPr>
            <w:tcW w:w="4579" w:type="dxa"/>
          </w:tcPr>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实现检测标本交接管理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52" w:type="dxa"/>
          </w:tcPr>
          <w:p>
            <w:pPr>
              <w:pStyle w:val="8"/>
              <w:spacing w:before="156" w:beforeLines="50" w:after="156" w:afterLines="50"/>
              <w:ind w:firstLine="560" w:firstLineChars="200"/>
              <w:jc w:val="center"/>
              <w:rPr>
                <w:rFonts w:ascii="仿宋" w:hAnsi="仿宋" w:eastAsia="仿宋"/>
                <w:sz w:val="28"/>
                <w:szCs w:val="28"/>
              </w:rPr>
            </w:pPr>
          </w:p>
        </w:tc>
        <w:tc>
          <w:tcPr>
            <w:tcW w:w="1432" w:type="dxa"/>
            <w:vMerge w:val="continue"/>
          </w:tcPr>
          <w:p>
            <w:pPr>
              <w:pStyle w:val="8"/>
              <w:spacing w:before="156" w:beforeLines="50" w:after="156" w:afterLines="50"/>
              <w:ind w:firstLine="560" w:firstLineChars="200"/>
              <w:rPr>
                <w:rFonts w:ascii="仿宋" w:hAnsi="仿宋" w:eastAsia="仿宋"/>
                <w:sz w:val="28"/>
                <w:szCs w:val="28"/>
              </w:rPr>
            </w:pPr>
          </w:p>
        </w:tc>
        <w:tc>
          <w:tcPr>
            <w:tcW w:w="1665" w:type="dxa"/>
          </w:tcPr>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报告模块</w:t>
            </w:r>
          </w:p>
        </w:tc>
        <w:tc>
          <w:tcPr>
            <w:tcW w:w="4579" w:type="dxa"/>
          </w:tcPr>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实现标本状态实时更新与报告发布</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标本接收登记</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标本结果检测与采集</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报告审核</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报告发布管理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52" w:type="dxa"/>
          </w:tcPr>
          <w:p>
            <w:pPr>
              <w:pStyle w:val="8"/>
              <w:spacing w:before="156" w:beforeLines="50" w:after="156" w:afterLines="50"/>
              <w:ind w:firstLine="560" w:firstLineChars="200"/>
              <w:jc w:val="center"/>
              <w:rPr>
                <w:rFonts w:ascii="仿宋" w:hAnsi="仿宋" w:eastAsia="仿宋"/>
                <w:sz w:val="28"/>
                <w:szCs w:val="28"/>
              </w:rPr>
            </w:pPr>
          </w:p>
        </w:tc>
        <w:tc>
          <w:tcPr>
            <w:tcW w:w="1432" w:type="dxa"/>
            <w:vMerge w:val="continue"/>
          </w:tcPr>
          <w:p>
            <w:pPr>
              <w:pStyle w:val="8"/>
              <w:spacing w:before="156" w:beforeLines="50" w:after="156" w:afterLines="50"/>
              <w:ind w:firstLine="560" w:firstLineChars="200"/>
              <w:rPr>
                <w:rFonts w:ascii="仿宋" w:hAnsi="仿宋" w:eastAsia="仿宋"/>
                <w:sz w:val="28"/>
                <w:szCs w:val="28"/>
              </w:rPr>
            </w:pPr>
          </w:p>
        </w:tc>
        <w:tc>
          <w:tcPr>
            <w:tcW w:w="1665" w:type="dxa"/>
          </w:tcPr>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质控模块</w:t>
            </w:r>
          </w:p>
        </w:tc>
        <w:tc>
          <w:tcPr>
            <w:tcW w:w="4579" w:type="dxa"/>
          </w:tcPr>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质控信息维护</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质控数据管理</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质控报表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pStyle w:val="8"/>
              <w:spacing w:before="156" w:beforeLines="50" w:after="156" w:afterLines="50"/>
              <w:ind w:firstLine="560" w:firstLineChars="200"/>
              <w:jc w:val="center"/>
              <w:rPr>
                <w:rFonts w:ascii="仿宋" w:hAnsi="仿宋" w:eastAsia="仿宋"/>
                <w:sz w:val="28"/>
                <w:szCs w:val="28"/>
              </w:rPr>
            </w:pPr>
          </w:p>
        </w:tc>
        <w:tc>
          <w:tcPr>
            <w:tcW w:w="1432" w:type="dxa"/>
            <w:vMerge w:val="continue"/>
          </w:tcPr>
          <w:p>
            <w:pPr>
              <w:pStyle w:val="8"/>
              <w:spacing w:before="156" w:beforeLines="50" w:after="156" w:afterLines="50"/>
              <w:ind w:firstLine="560" w:firstLineChars="200"/>
              <w:rPr>
                <w:rFonts w:ascii="仿宋" w:hAnsi="仿宋" w:eastAsia="仿宋"/>
                <w:sz w:val="28"/>
                <w:szCs w:val="28"/>
              </w:rPr>
            </w:pPr>
          </w:p>
        </w:tc>
        <w:tc>
          <w:tcPr>
            <w:tcW w:w="1665" w:type="dxa"/>
          </w:tcPr>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统计分析功能</w:t>
            </w:r>
          </w:p>
        </w:tc>
        <w:tc>
          <w:tcPr>
            <w:tcW w:w="4579" w:type="dxa"/>
          </w:tcPr>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受检标本统计</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检测项目工作量统计</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阳性率统计</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标本检测TAT分析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2" w:type="dxa"/>
          </w:tcPr>
          <w:p>
            <w:pPr>
              <w:pStyle w:val="8"/>
              <w:spacing w:before="156" w:beforeLines="50" w:after="156" w:afterLines="50"/>
              <w:ind w:firstLine="0"/>
              <w:jc w:val="center"/>
              <w:rPr>
                <w:rFonts w:ascii="仿宋" w:hAnsi="仿宋" w:eastAsia="仿宋"/>
                <w:sz w:val="28"/>
                <w:szCs w:val="28"/>
              </w:rPr>
            </w:pPr>
            <w:r>
              <w:rPr>
                <w:rFonts w:hint="eastAsia" w:ascii="仿宋" w:hAnsi="仿宋" w:eastAsia="仿宋"/>
                <w:sz w:val="28"/>
                <w:szCs w:val="28"/>
              </w:rPr>
              <w:t>3</w:t>
            </w:r>
          </w:p>
        </w:tc>
        <w:tc>
          <w:tcPr>
            <w:tcW w:w="1432" w:type="dxa"/>
          </w:tcPr>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自助机及线上手机端系统改造</w:t>
            </w:r>
          </w:p>
        </w:tc>
        <w:tc>
          <w:tcPr>
            <w:tcW w:w="1665" w:type="dxa"/>
          </w:tcPr>
          <w:p>
            <w:pPr>
              <w:pStyle w:val="8"/>
              <w:spacing w:before="156" w:beforeLines="50" w:after="156" w:afterLines="50"/>
              <w:ind w:firstLine="0"/>
              <w:rPr>
                <w:rFonts w:ascii="仿宋" w:hAnsi="仿宋" w:eastAsia="仿宋"/>
                <w:sz w:val="28"/>
                <w:szCs w:val="28"/>
              </w:rPr>
            </w:pPr>
          </w:p>
        </w:tc>
        <w:tc>
          <w:tcPr>
            <w:tcW w:w="4579" w:type="dxa"/>
          </w:tcPr>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患者可通过自助机端或移动手机端（“温州市中医院</w:t>
            </w:r>
            <w:r>
              <w:rPr>
                <w:rFonts w:hint="eastAsia" w:ascii="仿宋" w:hAnsi="仿宋" w:eastAsia="仿宋"/>
                <w:color w:val="FF0000"/>
                <w:sz w:val="28"/>
                <w:szCs w:val="28"/>
                <w:lang w:val="en-US" w:eastAsia="zh-CN"/>
              </w:rPr>
              <w:t>移动服务平台</w:t>
            </w:r>
            <w:r>
              <w:rPr>
                <w:rFonts w:hint="eastAsia" w:ascii="仿宋" w:hAnsi="仿宋" w:eastAsia="仿宋"/>
                <w:sz w:val="28"/>
                <w:szCs w:val="28"/>
              </w:rPr>
              <w:t>”微信公众号）界面中快速查找到核酸检测预约项目进行预约操作。</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患者可查看核酸检测可预约的时间段，自住选择预约时间段。</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患者可查看核酸检测的注意事项。</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患者选定时间段进行订单支付前进行核酸检测预约订单的信息确认。</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患者进行核酸检测预约订单的费用支付。</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患者支付成功后，系统自动开具核酸检测申请单并流转至检验系统。</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支持患者查询核酸检测预约记录及取消预约。</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当核酸检测有结果时，通过移动端对患者进行提醒。</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支持患者在移动端查询核酸检测报告。</w:t>
            </w:r>
          </w:p>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在管理端需要提供核酸检测预约订单的查询及对账；提供核酸检测预约注意事项维护等，为院内管理人员提供便捷的查询、统计和管理渠道。</w:t>
            </w:r>
          </w:p>
        </w:tc>
      </w:tr>
    </w:tbl>
    <w:p/>
    <w:p>
      <w:pPr>
        <w:pStyle w:val="3"/>
      </w:pPr>
      <w:bookmarkStart w:id="46" w:name="_Toc81213849"/>
      <w:bookmarkStart w:id="47" w:name="_Toc77341583"/>
      <w:bookmarkStart w:id="48" w:name="_Toc77079801"/>
      <w:r>
        <w:rPr>
          <w:rFonts w:hint="eastAsia"/>
        </w:rPr>
        <w:t>主要软硬件选型原则和详细软硬件配置清单</w:t>
      </w:r>
      <w:bookmarkEnd w:id="46"/>
      <w:bookmarkEnd w:id="47"/>
    </w:p>
    <w:p>
      <w:pPr>
        <w:pStyle w:val="4"/>
      </w:pPr>
      <w:bookmarkStart w:id="49" w:name="_Toc81213850"/>
      <w:r>
        <w:rPr>
          <w:rFonts w:hint="eastAsia"/>
        </w:rPr>
        <w:t>系统软硬件配置清单</w:t>
      </w:r>
      <w:bookmarkEnd w:id="49"/>
    </w:p>
    <w:tbl>
      <w:tblPr>
        <w:tblStyle w:val="5"/>
        <w:tblW w:w="8505" w:type="dxa"/>
        <w:tblInd w:w="108" w:type="dxa"/>
        <w:tblLayout w:type="autofit"/>
        <w:tblCellMar>
          <w:top w:w="0" w:type="dxa"/>
          <w:left w:w="108" w:type="dxa"/>
          <w:bottom w:w="0" w:type="dxa"/>
          <w:right w:w="108" w:type="dxa"/>
        </w:tblCellMar>
      </w:tblPr>
      <w:tblGrid>
        <w:gridCol w:w="851"/>
        <w:gridCol w:w="2135"/>
        <w:gridCol w:w="3822"/>
        <w:gridCol w:w="751"/>
        <w:gridCol w:w="946"/>
      </w:tblGrid>
      <w:tr>
        <w:tblPrEx>
          <w:tblCellMar>
            <w:top w:w="0" w:type="dxa"/>
            <w:left w:w="108" w:type="dxa"/>
            <w:bottom w:w="0" w:type="dxa"/>
            <w:right w:w="108" w:type="dxa"/>
          </w:tblCellMar>
        </w:tblPrEx>
        <w:trPr>
          <w:trHeight w:val="495" w:hRule="atLeast"/>
        </w:trPr>
        <w:tc>
          <w:tcPr>
            <w:tcW w:w="851"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jc w:val="center"/>
              <w:rPr>
                <w:rFonts w:ascii="仿宋" w:hAnsi="仿宋" w:eastAsia="仿宋"/>
                <w:sz w:val="28"/>
                <w:szCs w:val="28"/>
              </w:rPr>
            </w:pPr>
            <w:r>
              <w:rPr>
                <w:rFonts w:hint="eastAsia" w:ascii="仿宋" w:hAnsi="仿宋" w:eastAsia="仿宋"/>
                <w:sz w:val="28"/>
                <w:szCs w:val="28"/>
              </w:rPr>
              <w:t>序号</w:t>
            </w:r>
          </w:p>
        </w:tc>
        <w:tc>
          <w:tcPr>
            <w:tcW w:w="2135" w:type="dxa"/>
            <w:tcBorders>
              <w:top w:val="single" w:color="auto" w:sz="4" w:space="0"/>
              <w:left w:val="nil"/>
              <w:bottom w:val="single" w:color="auto" w:sz="4" w:space="0"/>
              <w:right w:val="single" w:color="auto" w:sz="4" w:space="0"/>
            </w:tcBorders>
            <w:shd w:val="clear" w:color="auto" w:fill="BEBEBE"/>
            <w:vAlign w:val="center"/>
          </w:tcPr>
          <w:p>
            <w:pPr>
              <w:widowControl/>
              <w:jc w:val="center"/>
              <w:rPr>
                <w:rFonts w:ascii="仿宋" w:hAnsi="仿宋" w:eastAsia="仿宋"/>
                <w:sz w:val="28"/>
                <w:szCs w:val="28"/>
              </w:rPr>
            </w:pPr>
            <w:r>
              <w:rPr>
                <w:rFonts w:hint="eastAsia" w:ascii="仿宋" w:hAnsi="仿宋" w:eastAsia="仿宋"/>
                <w:sz w:val="28"/>
                <w:szCs w:val="28"/>
              </w:rPr>
              <w:t>设备名称</w:t>
            </w:r>
          </w:p>
        </w:tc>
        <w:tc>
          <w:tcPr>
            <w:tcW w:w="3822" w:type="dxa"/>
            <w:tcBorders>
              <w:top w:val="single" w:color="auto" w:sz="4" w:space="0"/>
              <w:left w:val="nil"/>
              <w:bottom w:val="single" w:color="auto" w:sz="4" w:space="0"/>
              <w:right w:val="single" w:color="auto" w:sz="4" w:space="0"/>
            </w:tcBorders>
            <w:shd w:val="clear" w:color="auto" w:fill="BEBEBE"/>
            <w:vAlign w:val="center"/>
          </w:tcPr>
          <w:p>
            <w:pPr>
              <w:widowControl/>
              <w:jc w:val="center"/>
              <w:rPr>
                <w:rFonts w:ascii="仿宋" w:hAnsi="仿宋" w:eastAsia="仿宋"/>
                <w:sz w:val="28"/>
                <w:szCs w:val="28"/>
              </w:rPr>
            </w:pPr>
            <w:r>
              <w:rPr>
                <w:rFonts w:hint="eastAsia" w:ascii="仿宋" w:hAnsi="仿宋" w:eastAsia="仿宋"/>
                <w:sz w:val="28"/>
                <w:szCs w:val="28"/>
              </w:rPr>
              <w:t>技术参数要求</w:t>
            </w:r>
          </w:p>
        </w:tc>
        <w:tc>
          <w:tcPr>
            <w:tcW w:w="751" w:type="dxa"/>
            <w:tcBorders>
              <w:top w:val="single" w:color="auto" w:sz="4" w:space="0"/>
              <w:left w:val="nil"/>
              <w:bottom w:val="single" w:color="auto" w:sz="4" w:space="0"/>
              <w:right w:val="single" w:color="auto" w:sz="4" w:space="0"/>
            </w:tcBorders>
            <w:shd w:val="clear" w:color="auto" w:fill="BEBEBE"/>
            <w:vAlign w:val="center"/>
          </w:tcPr>
          <w:p>
            <w:pPr>
              <w:widowControl/>
              <w:jc w:val="center"/>
              <w:rPr>
                <w:rFonts w:ascii="仿宋" w:hAnsi="仿宋" w:eastAsia="仿宋"/>
                <w:sz w:val="28"/>
                <w:szCs w:val="28"/>
              </w:rPr>
            </w:pPr>
            <w:r>
              <w:rPr>
                <w:rFonts w:hint="eastAsia" w:ascii="仿宋" w:hAnsi="仿宋" w:eastAsia="仿宋"/>
                <w:sz w:val="28"/>
                <w:szCs w:val="28"/>
              </w:rPr>
              <w:t>单位</w:t>
            </w:r>
          </w:p>
        </w:tc>
        <w:tc>
          <w:tcPr>
            <w:tcW w:w="946" w:type="dxa"/>
            <w:tcBorders>
              <w:top w:val="single" w:color="auto" w:sz="4" w:space="0"/>
              <w:left w:val="nil"/>
              <w:bottom w:val="single" w:color="auto" w:sz="4" w:space="0"/>
              <w:right w:val="single" w:color="auto" w:sz="4" w:space="0"/>
            </w:tcBorders>
            <w:shd w:val="clear" w:color="auto" w:fill="BEBEBE"/>
            <w:vAlign w:val="center"/>
          </w:tcPr>
          <w:p>
            <w:pPr>
              <w:widowControl/>
              <w:jc w:val="center"/>
              <w:rPr>
                <w:rFonts w:ascii="仿宋" w:hAnsi="仿宋" w:eastAsia="仿宋"/>
                <w:sz w:val="28"/>
                <w:szCs w:val="28"/>
              </w:rPr>
            </w:pPr>
            <w:r>
              <w:rPr>
                <w:rFonts w:hint="eastAsia" w:ascii="仿宋" w:hAnsi="仿宋" w:eastAsia="仿宋"/>
                <w:sz w:val="28"/>
                <w:szCs w:val="28"/>
              </w:rPr>
              <w:t>数量</w:t>
            </w:r>
          </w:p>
        </w:tc>
      </w:tr>
      <w:tr>
        <w:tblPrEx>
          <w:tblCellMar>
            <w:top w:w="0" w:type="dxa"/>
            <w:left w:w="108" w:type="dxa"/>
            <w:bottom w:w="0" w:type="dxa"/>
            <w:right w:w="108" w:type="dxa"/>
          </w:tblCellMar>
        </w:tblPrEx>
        <w:trPr>
          <w:trHeight w:val="45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sz w:val="28"/>
                <w:szCs w:val="28"/>
              </w:rPr>
            </w:pPr>
            <w:r>
              <w:rPr>
                <w:rFonts w:hint="eastAsia" w:ascii="仿宋" w:hAnsi="仿宋" w:eastAsia="仿宋"/>
                <w:sz w:val="28"/>
                <w:szCs w:val="28"/>
              </w:rPr>
              <w:t>1</w:t>
            </w:r>
          </w:p>
        </w:tc>
        <w:tc>
          <w:tcPr>
            <w:tcW w:w="2135" w:type="dxa"/>
            <w:tcBorders>
              <w:top w:val="nil"/>
              <w:left w:val="nil"/>
              <w:bottom w:val="single" w:color="auto" w:sz="4" w:space="0"/>
              <w:right w:val="single" w:color="auto" w:sz="4" w:space="0"/>
            </w:tcBorders>
            <w:noWrap/>
            <w:vAlign w:val="center"/>
          </w:tcPr>
          <w:p>
            <w:pPr>
              <w:widowControl/>
              <w:jc w:val="left"/>
              <w:rPr>
                <w:rFonts w:ascii="仿宋" w:hAnsi="仿宋" w:eastAsia="仿宋"/>
                <w:sz w:val="28"/>
                <w:szCs w:val="28"/>
              </w:rPr>
            </w:pPr>
            <w:r>
              <w:rPr>
                <w:rFonts w:hint="eastAsia" w:ascii="仿宋" w:hAnsi="仿宋" w:eastAsia="仿宋"/>
                <w:sz w:val="28"/>
                <w:szCs w:val="28"/>
              </w:rPr>
              <w:t>医生工作站核酸混采功能改造</w:t>
            </w:r>
          </w:p>
        </w:tc>
        <w:tc>
          <w:tcPr>
            <w:tcW w:w="3822" w:type="dxa"/>
            <w:tcBorders>
              <w:top w:val="nil"/>
              <w:left w:val="nil"/>
              <w:bottom w:val="single" w:color="auto" w:sz="4" w:space="0"/>
              <w:right w:val="single" w:color="auto" w:sz="4" w:space="0"/>
            </w:tcBorders>
            <w:vAlign w:val="center"/>
          </w:tcPr>
          <w:p>
            <w:pPr>
              <w:widowControl/>
              <w:jc w:val="left"/>
              <w:rPr>
                <w:rFonts w:ascii="仿宋" w:hAnsi="仿宋" w:eastAsia="仿宋"/>
                <w:sz w:val="28"/>
                <w:szCs w:val="28"/>
              </w:rPr>
            </w:pPr>
            <w:r>
              <w:rPr>
                <w:rFonts w:hint="eastAsia" w:ascii="仿宋" w:hAnsi="仿宋" w:eastAsia="仿宋"/>
                <w:sz w:val="28"/>
                <w:szCs w:val="28"/>
              </w:rPr>
              <w:t>实现核酸混采的相关信息登记：平台维护及管理、受检信息登记模块、标本采集、报告发布及查阅、统计分析及上报、接口管理等</w:t>
            </w:r>
          </w:p>
        </w:tc>
        <w:tc>
          <w:tcPr>
            <w:tcW w:w="751"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sz w:val="28"/>
                <w:szCs w:val="28"/>
                <w:lang w:eastAsia="zh-CN"/>
              </w:rPr>
            </w:pPr>
            <w:r>
              <w:rPr>
                <w:rFonts w:hint="eastAsia" w:ascii="仿宋" w:hAnsi="仿宋" w:eastAsia="仿宋"/>
                <w:color w:val="FF0000"/>
                <w:sz w:val="28"/>
                <w:szCs w:val="28"/>
                <w:lang w:val="en-US" w:eastAsia="zh-CN"/>
              </w:rPr>
              <w:t>项</w:t>
            </w:r>
          </w:p>
        </w:tc>
        <w:tc>
          <w:tcPr>
            <w:tcW w:w="946" w:type="dxa"/>
            <w:tcBorders>
              <w:top w:val="nil"/>
              <w:left w:val="nil"/>
              <w:bottom w:val="single" w:color="auto" w:sz="4" w:space="0"/>
              <w:right w:val="single" w:color="auto" w:sz="4" w:space="0"/>
            </w:tcBorders>
            <w:noWrap/>
            <w:vAlign w:val="center"/>
          </w:tcPr>
          <w:p>
            <w:pPr>
              <w:widowControl/>
              <w:jc w:val="center"/>
              <w:rPr>
                <w:rFonts w:ascii="仿宋" w:hAnsi="仿宋" w:eastAsia="仿宋"/>
                <w:sz w:val="28"/>
                <w:szCs w:val="28"/>
              </w:rPr>
            </w:pPr>
            <w:r>
              <w:rPr>
                <w:rFonts w:hint="eastAsia" w:ascii="仿宋" w:hAnsi="仿宋" w:eastAsia="仿宋"/>
                <w:sz w:val="28"/>
                <w:szCs w:val="28"/>
              </w:rPr>
              <w:t>1</w:t>
            </w:r>
          </w:p>
        </w:tc>
      </w:tr>
      <w:tr>
        <w:tblPrEx>
          <w:tblCellMar>
            <w:top w:w="0" w:type="dxa"/>
            <w:left w:w="108" w:type="dxa"/>
            <w:bottom w:w="0" w:type="dxa"/>
            <w:right w:w="108" w:type="dxa"/>
          </w:tblCellMar>
        </w:tblPrEx>
        <w:trPr>
          <w:trHeight w:val="560"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sz w:val="28"/>
                <w:szCs w:val="28"/>
              </w:rPr>
            </w:pPr>
            <w:r>
              <w:rPr>
                <w:rFonts w:hint="eastAsia" w:ascii="仿宋" w:hAnsi="仿宋" w:eastAsia="仿宋"/>
                <w:sz w:val="28"/>
                <w:szCs w:val="28"/>
              </w:rPr>
              <w:t>2</w:t>
            </w:r>
          </w:p>
        </w:tc>
        <w:tc>
          <w:tcPr>
            <w:tcW w:w="2135" w:type="dxa"/>
            <w:tcBorders>
              <w:top w:val="nil"/>
              <w:left w:val="nil"/>
              <w:bottom w:val="single" w:color="auto" w:sz="4" w:space="0"/>
              <w:right w:val="single" w:color="auto" w:sz="4" w:space="0"/>
            </w:tcBorders>
            <w:vAlign w:val="center"/>
          </w:tcPr>
          <w:p>
            <w:pPr>
              <w:widowControl/>
              <w:jc w:val="left"/>
              <w:rPr>
                <w:rFonts w:ascii="仿宋" w:hAnsi="仿宋" w:eastAsia="仿宋"/>
                <w:sz w:val="28"/>
                <w:szCs w:val="28"/>
              </w:rPr>
            </w:pPr>
            <w:r>
              <w:rPr>
                <w:rFonts w:hint="eastAsia" w:ascii="仿宋" w:hAnsi="仿宋" w:eastAsia="仿宋"/>
                <w:sz w:val="28"/>
                <w:szCs w:val="28"/>
              </w:rPr>
              <w:t>检验LIS核酸检测系统改造</w:t>
            </w:r>
          </w:p>
        </w:tc>
        <w:tc>
          <w:tcPr>
            <w:tcW w:w="3822" w:type="dxa"/>
            <w:tcBorders>
              <w:top w:val="nil"/>
              <w:left w:val="nil"/>
              <w:bottom w:val="single" w:color="auto" w:sz="4" w:space="0"/>
              <w:right w:val="single" w:color="auto" w:sz="4" w:space="0"/>
            </w:tcBorders>
            <w:vAlign w:val="center"/>
          </w:tcPr>
          <w:p>
            <w:pPr>
              <w:pStyle w:val="8"/>
              <w:spacing w:before="156" w:beforeLines="50" w:after="156" w:afterLines="50"/>
              <w:ind w:firstLine="0"/>
              <w:rPr>
                <w:rFonts w:ascii="仿宋" w:hAnsi="仿宋" w:eastAsia="仿宋"/>
                <w:sz w:val="28"/>
                <w:szCs w:val="28"/>
              </w:rPr>
            </w:pPr>
            <w:r>
              <w:rPr>
                <w:rFonts w:hint="eastAsia" w:ascii="仿宋" w:hAnsi="仿宋" w:eastAsia="仿宋"/>
                <w:sz w:val="28"/>
                <w:szCs w:val="28"/>
              </w:rPr>
              <w:t>实现检测标本交接管理，标本状态实时更新与报告发布，标本接收登记，标本结果检测与采集，报告审核，报告发布管理，质控信息维护，质控数据管理，统计分析功能，受检标本统计，检测项目工作量统计，阳性率统计，标本检测TAT分析。</w:t>
            </w:r>
          </w:p>
        </w:tc>
        <w:tc>
          <w:tcPr>
            <w:tcW w:w="751"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sz w:val="28"/>
                <w:szCs w:val="28"/>
                <w:lang w:eastAsia="zh-CN"/>
              </w:rPr>
            </w:pPr>
            <w:r>
              <w:rPr>
                <w:rFonts w:hint="eastAsia" w:ascii="仿宋" w:hAnsi="仿宋" w:eastAsia="仿宋"/>
                <w:color w:val="FF0000"/>
                <w:sz w:val="28"/>
                <w:szCs w:val="28"/>
                <w:lang w:val="en-US" w:eastAsia="zh-CN"/>
              </w:rPr>
              <w:t>项</w:t>
            </w:r>
          </w:p>
        </w:tc>
        <w:tc>
          <w:tcPr>
            <w:tcW w:w="946" w:type="dxa"/>
            <w:tcBorders>
              <w:top w:val="nil"/>
              <w:left w:val="nil"/>
              <w:bottom w:val="single" w:color="auto" w:sz="4" w:space="0"/>
              <w:right w:val="single" w:color="auto" w:sz="4" w:space="0"/>
            </w:tcBorders>
            <w:noWrap/>
            <w:vAlign w:val="center"/>
          </w:tcPr>
          <w:p>
            <w:pPr>
              <w:widowControl/>
              <w:jc w:val="center"/>
              <w:rPr>
                <w:rFonts w:ascii="仿宋" w:hAnsi="仿宋" w:eastAsia="仿宋"/>
                <w:sz w:val="28"/>
                <w:szCs w:val="28"/>
              </w:rPr>
            </w:pPr>
            <w:r>
              <w:rPr>
                <w:rFonts w:hint="eastAsia" w:ascii="仿宋" w:hAnsi="仿宋" w:eastAsia="仿宋"/>
                <w:sz w:val="28"/>
                <w:szCs w:val="28"/>
              </w:rPr>
              <w:t>1</w:t>
            </w:r>
          </w:p>
        </w:tc>
      </w:tr>
      <w:tr>
        <w:tblPrEx>
          <w:tblCellMar>
            <w:top w:w="0" w:type="dxa"/>
            <w:left w:w="108" w:type="dxa"/>
            <w:bottom w:w="0" w:type="dxa"/>
            <w:right w:w="108" w:type="dxa"/>
          </w:tblCellMar>
        </w:tblPrEx>
        <w:trPr>
          <w:trHeight w:val="560"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sz w:val="28"/>
                <w:szCs w:val="28"/>
              </w:rPr>
            </w:pPr>
            <w:r>
              <w:rPr>
                <w:rFonts w:hint="eastAsia" w:ascii="仿宋" w:hAnsi="仿宋" w:eastAsia="仿宋"/>
                <w:sz w:val="28"/>
                <w:szCs w:val="28"/>
              </w:rPr>
              <w:t>3</w:t>
            </w:r>
          </w:p>
        </w:tc>
        <w:tc>
          <w:tcPr>
            <w:tcW w:w="2135" w:type="dxa"/>
            <w:tcBorders>
              <w:top w:val="nil"/>
              <w:left w:val="nil"/>
              <w:bottom w:val="single" w:color="auto" w:sz="4" w:space="0"/>
              <w:right w:val="single" w:color="auto" w:sz="4" w:space="0"/>
            </w:tcBorders>
            <w:vAlign w:val="center"/>
          </w:tcPr>
          <w:p>
            <w:pPr>
              <w:widowControl/>
              <w:jc w:val="left"/>
              <w:rPr>
                <w:rFonts w:ascii="仿宋" w:hAnsi="仿宋" w:eastAsia="仿宋"/>
                <w:sz w:val="28"/>
                <w:szCs w:val="28"/>
              </w:rPr>
            </w:pPr>
            <w:r>
              <w:rPr>
                <w:rFonts w:hint="eastAsia" w:ascii="仿宋" w:hAnsi="仿宋" w:eastAsia="仿宋"/>
                <w:sz w:val="28"/>
                <w:szCs w:val="28"/>
              </w:rPr>
              <w:t>自助机及线上手机端系统改造</w:t>
            </w:r>
          </w:p>
        </w:tc>
        <w:tc>
          <w:tcPr>
            <w:tcW w:w="3822" w:type="dxa"/>
            <w:tcBorders>
              <w:top w:val="nil"/>
              <w:left w:val="nil"/>
              <w:bottom w:val="single" w:color="auto" w:sz="4" w:space="0"/>
              <w:right w:val="single" w:color="auto" w:sz="4" w:space="0"/>
            </w:tcBorders>
            <w:vAlign w:val="center"/>
          </w:tcPr>
          <w:p>
            <w:pPr>
              <w:widowControl/>
              <w:jc w:val="left"/>
              <w:rPr>
                <w:rFonts w:ascii="仿宋" w:hAnsi="仿宋" w:eastAsia="仿宋"/>
                <w:sz w:val="28"/>
                <w:szCs w:val="28"/>
              </w:rPr>
            </w:pPr>
            <w:r>
              <w:rPr>
                <w:rFonts w:hint="eastAsia" w:ascii="仿宋" w:hAnsi="仿宋" w:eastAsia="仿宋"/>
                <w:sz w:val="28"/>
                <w:szCs w:val="28"/>
              </w:rPr>
              <w:t>实现自助机及线上手机端的核酸开单机缴费功能，患者可线上查询报告单，在管理端需要提供核酸检测预约订单的查询及对账；提供核酸检测预约注意事项维护等，为院内管理人员提供便捷的查询、统计和管理渠道。</w:t>
            </w:r>
          </w:p>
        </w:tc>
        <w:tc>
          <w:tcPr>
            <w:tcW w:w="751"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sz w:val="28"/>
                <w:szCs w:val="28"/>
                <w:lang w:eastAsia="zh-CN"/>
              </w:rPr>
            </w:pPr>
            <w:bookmarkStart w:id="58" w:name="_GoBack"/>
            <w:r>
              <w:rPr>
                <w:rFonts w:hint="eastAsia" w:ascii="仿宋" w:hAnsi="仿宋" w:eastAsia="仿宋"/>
                <w:color w:val="FF0000"/>
                <w:sz w:val="28"/>
                <w:szCs w:val="28"/>
                <w:lang w:val="en-US" w:eastAsia="zh-CN"/>
              </w:rPr>
              <w:t>项</w:t>
            </w:r>
            <w:bookmarkEnd w:id="58"/>
          </w:p>
        </w:tc>
        <w:tc>
          <w:tcPr>
            <w:tcW w:w="946" w:type="dxa"/>
            <w:tcBorders>
              <w:top w:val="nil"/>
              <w:left w:val="nil"/>
              <w:bottom w:val="single" w:color="auto" w:sz="4" w:space="0"/>
              <w:right w:val="single" w:color="auto" w:sz="4" w:space="0"/>
            </w:tcBorders>
            <w:noWrap/>
            <w:vAlign w:val="center"/>
          </w:tcPr>
          <w:p>
            <w:pPr>
              <w:widowControl/>
              <w:jc w:val="center"/>
              <w:rPr>
                <w:rFonts w:ascii="仿宋" w:hAnsi="仿宋" w:eastAsia="仿宋"/>
                <w:sz w:val="28"/>
                <w:szCs w:val="28"/>
              </w:rPr>
            </w:pPr>
            <w:r>
              <w:rPr>
                <w:rFonts w:hint="eastAsia" w:ascii="仿宋" w:hAnsi="仿宋" w:eastAsia="仿宋"/>
                <w:sz w:val="28"/>
                <w:szCs w:val="28"/>
              </w:rPr>
              <w:t>1</w:t>
            </w:r>
          </w:p>
        </w:tc>
      </w:tr>
    </w:tbl>
    <w:p/>
    <w:p>
      <w:pPr>
        <w:pStyle w:val="3"/>
        <w:rPr>
          <w:sz w:val="28"/>
          <w:szCs w:val="28"/>
        </w:rPr>
      </w:pPr>
      <w:bookmarkStart w:id="50" w:name="_Toc81213851"/>
      <w:r>
        <w:rPr>
          <w:rFonts w:hint="eastAsia"/>
          <w:sz w:val="28"/>
          <w:szCs w:val="28"/>
        </w:rPr>
        <w:t>数据资源规划和共享开放建设方案</w:t>
      </w:r>
      <w:bookmarkEnd w:id="48"/>
      <w:bookmarkEnd w:id="50"/>
    </w:p>
    <w:p>
      <w:pPr>
        <w:pStyle w:val="4"/>
        <w:rPr>
          <w:rFonts w:ascii="仿宋" w:hAnsi="仿宋" w:eastAsia="仿宋"/>
        </w:rPr>
      </w:pPr>
      <w:bookmarkStart w:id="51" w:name="_Toc81213852"/>
      <w:bookmarkStart w:id="52" w:name="_Toc77079802"/>
      <w:r>
        <w:rPr>
          <w:rFonts w:hint="eastAsia"/>
        </w:rPr>
        <w:t>数据归集要求</w:t>
      </w:r>
      <w:bookmarkEnd w:id="51"/>
      <w:bookmarkEnd w:id="52"/>
    </w:p>
    <w:p>
      <w:pPr>
        <w:pStyle w:val="8"/>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本项目应规划有关数据的编目、归集和整合，</w:t>
      </w:r>
      <w:r>
        <w:rPr>
          <w:rFonts w:ascii="仿宋" w:hAnsi="仿宋" w:eastAsia="仿宋"/>
          <w:sz w:val="28"/>
          <w:szCs w:val="28"/>
        </w:rPr>
        <w:t xml:space="preserve"> </w:t>
      </w:r>
      <w:r>
        <w:rPr>
          <w:rFonts w:hint="eastAsia" w:ascii="仿宋" w:hAnsi="仿宋" w:eastAsia="仿宋"/>
          <w:sz w:val="28"/>
          <w:szCs w:val="28"/>
        </w:rPr>
        <w:t>形成相应的数据资源目录，对数据的基本要素（包括数据名称、 数据内容、 编码格式、 提供单位、共享和开放属性、 更新频度等）进行描述和组织管理。</w:t>
      </w:r>
    </w:p>
    <w:p>
      <w:pPr>
        <w:pStyle w:val="3"/>
      </w:pPr>
      <w:bookmarkStart w:id="53" w:name="_Toc81213853"/>
      <w:r>
        <w:rPr>
          <w:rFonts w:hint="eastAsia"/>
        </w:rPr>
        <w:t>信息安全体系</w:t>
      </w:r>
      <w:bookmarkEnd w:id="53"/>
    </w:p>
    <w:p>
      <w:pPr>
        <w:ind w:firstLine="560" w:firstLineChars="200"/>
        <w:rPr>
          <w:rFonts w:ascii="仿宋" w:hAnsi="仿宋" w:eastAsia="仿宋"/>
          <w:sz w:val="28"/>
          <w:szCs w:val="28"/>
        </w:rPr>
      </w:pPr>
      <w:r>
        <w:rPr>
          <w:rFonts w:hint="eastAsia" w:ascii="仿宋" w:hAnsi="仿宋" w:eastAsia="仿宋"/>
          <w:sz w:val="28"/>
          <w:szCs w:val="28"/>
        </w:rPr>
        <w:t>建立完善的信息安全体系，可以确保系统的正常运行具有重要作用。本项目建设，根据实际业务开展的需要，依照相关规定，另行开展信息安全等级评定。</w:t>
      </w:r>
    </w:p>
    <w:p>
      <w:pPr>
        <w:pStyle w:val="4"/>
        <w:rPr>
          <w:rFonts w:ascii="仿宋" w:hAnsi="仿宋" w:eastAsia="仿宋"/>
        </w:rPr>
      </w:pPr>
      <w:bookmarkStart w:id="54" w:name="_Toc81213854"/>
      <w:bookmarkStart w:id="55" w:name="_Toc26724"/>
      <w:bookmarkStart w:id="56" w:name="_Toc77079805"/>
      <w:r>
        <w:t>管理规范体系</w:t>
      </w:r>
      <w:bookmarkEnd w:id="54"/>
      <w:bookmarkEnd w:id="55"/>
      <w:bookmarkEnd w:id="56"/>
    </w:p>
    <w:p>
      <w:pPr>
        <w:ind w:firstLine="560" w:firstLineChars="200"/>
        <w:rPr>
          <w:rFonts w:ascii="仿宋" w:hAnsi="仿宋" w:eastAsia="仿宋"/>
          <w:sz w:val="28"/>
          <w:szCs w:val="28"/>
        </w:rPr>
      </w:pPr>
      <w:r>
        <w:rPr>
          <w:rFonts w:hint="eastAsia" w:ascii="仿宋" w:hAnsi="仿宋" w:eastAsia="仿宋"/>
          <w:sz w:val="28"/>
          <w:szCs w:val="28"/>
        </w:rPr>
        <w:t>管理规范体系是，可以保证系统稳定运行和信息共享。本项目建设过程中，采用现有的国家级、省级、市级标准规范体系，能有效地保障和促进信息共享，有利于形成和促进业务协同。</w:t>
      </w:r>
    </w:p>
    <w:p>
      <w:pPr>
        <w:pStyle w:val="4"/>
      </w:pPr>
      <w:bookmarkStart w:id="57" w:name="_Toc81213855"/>
      <w:r>
        <w:rPr>
          <w:rFonts w:hint="eastAsia"/>
        </w:rPr>
        <w:t>数据加密方案</w:t>
      </w:r>
      <w:bookmarkEnd w:id="57"/>
    </w:p>
    <w:p>
      <w:pPr>
        <w:ind w:firstLine="560" w:firstLineChars="200"/>
        <w:rPr>
          <w:rFonts w:ascii="仿宋" w:hAnsi="仿宋" w:eastAsia="仿宋"/>
          <w:sz w:val="28"/>
          <w:szCs w:val="28"/>
        </w:rPr>
      </w:pPr>
      <w:r>
        <w:rPr>
          <w:rFonts w:hint="eastAsia" w:ascii="仿宋" w:hAnsi="仿宋" w:eastAsia="仿宋"/>
          <w:sz w:val="28"/>
          <w:szCs w:val="28"/>
        </w:rPr>
        <w:t>随着物质文化生活水平的提高，人们对医疗服务便捷化、智能化的需求越来越迫切。医疗信息化是一把双刃剑，在为广大群众提供便捷服务的同时，安全问题如影随形。用得好，它是卫生健康的强健机体；用不好，它就是卫生健康的恶性肿瘤。而让医疗更安全、更便捷、更智能，离不开密码的安全保障和基础支撑，离不开密码体系与医疗信息化建设的深度融合。</w:t>
      </w:r>
    </w:p>
    <w:p>
      <w:pPr>
        <w:ind w:firstLine="560" w:firstLineChars="200"/>
        <w:rPr>
          <w:rFonts w:ascii="仿宋" w:hAnsi="仿宋" w:eastAsia="仿宋"/>
          <w:sz w:val="28"/>
          <w:szCs w:val="28"/>
        </w:rPr>
      </w:pPr>
      <w:r>
        <w:rPr>
          <w:rFonts w:hint="eastAsia" w:ascii="仿宋" w:hAnsi="仿宋" w:eastAsia="仿宋"/>
          <w:sz w:val="28"/>
          <w:szCs w:val="28"/>
        </w:rPr>
        <w:t>密码是网络安全的核心支撑，是解决医疗信息化安全问题最经济、最直接、最有效的手段。利用密码在安全认证、加密保护、信任传递等方面的重要作用，可以有效满足医疗信息化发展需求，实现从离散被动防御向整体主动免疫的根本转变。</w:t>
      </w:r>
    </w:p>
    <w:p>
      <w:pPr>
        <w:ind w:firstLine="562" w:firstLineChars="200"/>
        <w:rPr>
          <w:rFonts w:ascii="仿宋" w:hAnsi="仿宋" w:eastAsia="仿宋"/>
          <w:sz w:val="28"/>
          <w:szCs w:val="28"/>
        </w:rPr>
      </w:pPr>
      <w:r>
        <w:rPr>
          <w:rFonts w:hint="eastAsia" w:ascii="仿宋" w:hAnsi="仿宋" w:eastAsia="仿宋"/>
          <w:b/>
          <w:sz w:val="28"/>
          <w:szCs w:val="28"/>
        </w:rPr>
        <w:t>第一，密码保障安全。</w:t>
      </w:r>
      <w:r>
        <w:rPr>
          <w:rFonts w:hint="eastAsia" w:ascii="仿宋" w:hAnsi="仿宋" w:eastAsia="仿宋"/>
          <w:sz w:val="28"/>
          <w:szCs w:val="28"/>
        </w:rPr>
        <w:t>对于医疗信息化来说，网络、数据、计算和平台四个方面，都存在不可忽视的安全风险，密码在四个层面发挥安全保障作用。首先，密码支撑医疗信息化网络安全互联。通过合规、正确使用密码，能够系统有效解决医疗网络安全架构“鉴别、访问控制、机密性、完整性、抗抵赖”的基本安全需求问题，形成包括网络基础资源、信息设施、网络通道、接入终端、设备控制等的全体系安全，从底层保障网络的安全可控；其次，密码助力医疗数据安全防护。密码在医疗大数据产生到传输、存储、处理、分析、共享环节，密码可有效保证数据真实性、完整性、机密性、可追溯性。最后，密码推动医疗信息化平台安全运行。在使用密码保障医疗平台安全方面，目前已经取得突破性进展，有效支撑了身份鉴别、访问控制、责任认定、数据加解密等安全功能，保障了各类业务的安全，为医疗信息化平台安全提供了可借鉴、可复制的样板。</w:t>
      </w:r>
    </w:p>
    <w:p>
      <w:pPr>
        <w:ind w:firstLine="562" w:firstLineChars="200"/>
        <w:rPr>
          <w:rFonts w:ascii="仿宋" w:hAnsi="仿宋" w:eastAsia="仿宋"/>
          <w:sz w:val="28"/>
          <w:szCs w:val="28"/>
        </w:rPr>
      </w:pPr>
      <w:r>
        <w:rPr>
          <w:rFonts w:hint="eastAsia" w:ascii="仿宋" w:hAnsi="仿宋" w:eastAsia="仿宋"/>
          <w:b/>
          <w:sz w:val="28"/>
          <w:szCs w:val="28"/>
        </w:rPr>
        <w:t>第二，密码传递信任。</w:t>
      </w:r>
      <w:r>
        <w:rPr>
          <w:rFonts w:hint="eastAsia" w:ascii="仿宋" w:hAnsi="仿宋" w:eastAsia="仿宋"/>
          <w:sz w:val="28"/>
          <w:szCs w:val="28"/>
        </w:rPr>
        <w:t>数据的共享和交互是影响医疗信息化发展的重要环节，信任的缺乏严重制约了医疗信息化发展。传递信任，是密码的基本能力之一。利用基于密码数字签名等技术，可确保医疗信息化体系中实体身份真实可信、数据来源真实可信，进而构建医疗健康数据资源共享以及跨区域协同应用数据可信共享机制，打通数据共享的“信任瓶颈”，实现数据资源按需共享、安全交互，真正做到数据的安全可信以及互联互通。</w:t>
      </w:r>
    </w:p>
    <w:p>
      <w:pPr>
        <w:pStyle w:val="8"/>
        <w:spacing w:before="156" w:beforeLines="50" w:after="156" w:afterLines="50"/>
        <w:ind w:firstLine="560" w:firstLineChars="200"/>
      </w:pPr>
      <w:r>
        <w:rPr>
          <w:rFonts w:hint="eastAsia" w:ascii="仿宋" w:hAnsi="仿宋" w:eastAsia="仿宋"/>
          <w:sz w:val="28"/>
          <w:szCs w:val="28"/>
        </w:rPr>
        <w:t>密码应用安全是整体安全，不仅包括密码算法安全、密码协议安全、密码设备安全，还要立足系统安全、体系安全和动态安全。商用密码能够满足实体身份鉴别、信息来源鉴别、信息存储与安全传输等多方面的应用需求。如何合规、正确、有效地使用商用密码，充分发挥商用密码在保障网络空间安全中的核心技术和基础支撑作用，关乎国家大局、关乎网络空间安全、关乎医疗大数据安全、关乎全民个人隐私。</w:t>
      </w:r>
    </w:p>
    <w:p>
      <w:pPr>
        <w:pStyle w:val="2"/>
        <w:ind w:firstLine="602"/>
        <w:jc w:val="center"/>
        <w:rPr>
          <w:sz w:val="30"/>
          <w:szCs w:val="30"/>
        </w:rPr>
      </w:pPr>
      <w:r>
        <w:rPr>
          <w:rFonts w:hint="eastAsia"/>
          <w:sz w:val="30"/>
          <w:szCs w:val="30"/>
        </w:rPr>
        <w:t>评分</w:t>
      </w:r>
      <w:r>
        <w:rPr>
          <w:sz w:val="30"/>
          <w:szCs w:val="30"/>
        </w:rPr>
        <w:t>标准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1152"/>
        <w:gridCol w:w="769"/>
        <w:gridCol w:w="4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50" w:type="pct"/>
            <w:tcBorders>
              <w:bottom w:val="single" w:color="auto" w:sz="4" w:space="0"/>
            </w:tcBorders>
            <w:shd w:val="clear" w:color="auto" w:fill="auto"/>
            <w:vAlign w:val="center"/>
          </w:tcPr>
          <w:p>
            <w:pPr>
              <w:adjustRightInd w:val="0"/>
              <w:snapToGrid w:val="0"/>
              <w:spacing w:line="360" w:lineRule="auto"/>
              <w:jc w:val="center"/>
              <w:textAlignment w:val="baseline"/>
              <w:rPr>
                <w:rFonts w:ascii="仿宋" w:hAnsi="仿宋" w:eastAsia="仿宋"/>
                <w:szCs w:val="21"/>
              </w:rPr>
            </w:pPr>
            <w:r>
              <w:rPr>
                <w:rFonts w:ascii="仿宋" w:hAnsi="仿宋" w:eastAsia="仿宋"/>
                <w:szCs w:val="21"/>
              </w:rPr>
              <w:t>分值构成</w:t>
            </w:r>
          </w:p>
          <w:p>
            <w:pPr>
              <w:adjustRightInd w:val="0"/>
              <w:snapToGrid w:val="0"/>
              <w:spacing w:line="360" w:lineRule="auto"/>
              <w:jc w:val="center"/>
              <w:rPr>
                <w:rFonts w:ascii="仿宋" w:hAnsi="仿宋" w:eastAsia="仿宋" w:cs="宋体"/>
                <w:b/>
                <w:kern w:val="0"/>
                <w:szCs w:val="21"/>
              </w:rPr>
            </w:pPr>
            <w:r>
              <w:rPr>
                <w:rFonts w:ascii="仿宋" w:hAnsi="仿宋" w:eastAsia="仿宋"/>
                <w:szCs w:val="21"/>
              </w:rPr>
              <w:t>（总分100分）</w:t>
            </w:r>
          </w:p>
        </w:tc>
        <w:tc>
          <w:tcPr>
            <w:tcW w:w="3950" w:type="pct"/>
            <w:gridSpan w:val="3"/>
            <w:tcBorders>
              <w:bottom w:val="single" w:color="auto" w:sz="4" w:space="0"/>
            </w:tcBorders>
            <w:shd w:val="clear" w:color="auto" w:fill="auto"/>
            <w:vAlign w:val="center"/>
          </w:tcPr>
          <w:p>
            <w:pPr>
              <w:adjustRightInd w:val="0"/>
              <w:snapToGrid w:val="0"/>
              <w:spacing w:line="360" w:lineRule="auto"/>
              <w:textAlignment w:val="baseline"/>
              <w:rPr>
                <w:rFonts w:ascii="仿宋" w:hAnsi="仿宋" w:eastAsia="仿宋"/>
                <w:szCs w:val="21"/>
              </w:rPr>
            </w:pPr>
            <w:r>
              <w:rPr>
                <w:rFonts w:ascii="仿宋" w:hAnsi="仿宋" w:eastAsia="仿宋"/>
                <w:szCs w:val="21"/>
              </w:rPr>
              <w:t>商务部分：</w:t>
            </w:r>
            <w:r>
              <w:rPr>
                <w:rFonts w:hint="eastAsia" w:ascii="仿宋" w:hAnsi="仿宋" w:eastAsia="仿宋"/>
                <w:szCs w:val="21"/>
              </w:rPr>
              <w:t>3</w:t>
            </w:r>
            <w:r>
              <w:rPr>
                <w:rFonts w:ascii="仿宋" w:hAnsi="仿宋" w:eastAsia="仿宋"/>
                <w:szCs w:val="21"/>
              </w:rPr>
              <w:t>0分</w:t>
            </w:r>
          </w:p>
          <w:p>
            <w:pPr>
              <w:adjustRightInd w:val="0"/>
              <w:snapToGrid w:val="0"/>
              <w:spacing w:line="360" w:lineRule="auto"/>
              <w:rPr>
                <w:rFonts w:ascii="仿宋" w:hAnsi="仿宋" w:eastAsia="仿宋" w:cs="宋体"/>
                <w:b/>
                <w:kern w:val="0"/>
                <w:szCs w:val="21"/>
              </w:rPr>
            </w:pPr>
            <w:r>
              <w:rPr>
                <w:rFonts w:ascii="仿宋" w:hAnsi="仿宋" w:eastAsia="仿宋"/>
                <w:szCs w:val="21"/>
              </w:rPr>
              <w:t>技术部分：70分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50" w:type="pct"/>
            <w:tcBorders>
              <w:bottom w:val="single" w:color="auto" w:sz="4" w:space="0"/>
            </w:tcBorders>
            <w:shd w:val="clear" w:color="auto" w:fill="auto"/>
            <w:vAlign w:val="center"/>
          </w:tcPr>
          <w:p>
            <w:pPr>
              <w:adjustRightInd w:val="0"/>
              <w:snapToGrid w:val="0"/>
              <w:spacing w:line="360" w:lineRule="auto"/>
              <w:jc w:val="center"/>
              <w:textAlignment w:val="baseline"/>
              <w:rPr>
                <w:rFonts w:ascii="仿宋" w:hAnsi="仿宋" w:eastAsia="仿宋"/>
                <w:szCs w:val="21"/>
              </w:rPr>
            </w:pPr>
            <w:r>
              <w:rPr>
                <w:rFonts w:ascii="仿宋" w:hAnsi="仿宋" w:eastAsia="仿宋"/>
                <w:szCs w:val="21"/>
              </w:rPr>
              <w:t>评标基准价</w:t>
            </w:r>
          </w:p>
          <w:p>
            <w:pPr>
              <w:adjustRightInd w:val="0"/>
              <w:snapToGrid w:val="0"/>
              <w:spacing w:line="360" w:lineRule="auto"/>
              <w:jc w:val="center"/>
              <w:textAlignment w:val="baseline"/>
              <w:rPr>
                <w:rFonts w:ascii="仿宋" w:hAnsi="仿宋" w:eastAsia="仿宋"/>
                <w:szCs w:val="21"/>
              </w:rPr>
            </w:pPr>
            <w:r>
              <w:rPr>
                <w:rFonts w:ascii="仿宋" w:hAnsi="仿宋" w:eastAsia="仿宋"/>
                <w:szCs w:val="21"/>
              </w:rPr>
              <w:t>计算方法</w:t>
            </w:r>
          </w:p>
        </w:tc>
        <w:tc>
          <w:tcPr>
            <w:tcW w:w="3950" w:type="pct"/>
            <w:gridSpan w:val="3"/>
            <w:tcBorders>
              <w:bottom w:val="single" w:color="auto" w:sz="4" w:space="0"/>
            </w:tcBorders>
            <w:shd w:val="clear" w:color="auto" w:fill="auto"/>
            <w:vAlign w:val="center"/>
          </w:tcPr>
          <w:p>
            <w:pPr>
              <w:adjustRightInd w:val="0"/>
              <w:snapToGrid w:val="0"/>
              <w:spacing w:line="360" w:lineRule="auto"/>
              <w:textAlignment w:val="baseline"/>
              <w:rPr>
                <w:rFonts w:ascii="仿宋" w:hAnsi="仿宋" w:eastAsia="仿宋"/>
                <w:szCs w:val="21"/>
              </w:rPr>
            </w:pPr>
            <w:r>
              <w:rPr>
                <w:rFonts w:ascii="仿宋" w:hAnsi="仿宋" w:eastAsia="仿宋"/>
                <w:szCs w:val="21"/>
              </w:rPr>
              <w:t>1.当有效投标人的数量＞5家时：评标基准价=去掉一个有效投标人最高投标报价和去掉一个有效投标人最低投标报价后的算术平均值。</w:t>
            </w:r>
          </w:p>
          <w:p>
            <w:pPr>
              <w:adjustRightInd w:val="0"/>
              <w:snapToGrid w:val="0"/>
              <w:spacing w:line="360" w:lineRule="auto"/>
              <w:textAlignment w:val="baseline"/>
              <w:rPr>
                <w:rFonts w:ascii="仿宋" w:hAnsi="仿宋" w:eastAsia="仿宋"/>
                <w:szCs w:val="21"/>
              </w:rPr>
            </w:pPr>
            <w:r>
              <w:rPr>
                <w:rFonts w:ascii="仿宋" w:hAnsi="仿宋" w:eastAsia="仿宋"/>
                <w:szCs w:val="21"/>
              </w:rPr>
              <w:t>2.当有效投标人的数量≤5家时：评标基准价=所有有效投标人投标报价的算术平均值。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50" w:type="pct"/>
            <w:tcBorders>
              <w:bottom w:val="single" w:color="auto" w:sz="4" w:space="0"/>
            </w:tcBorders>
            <w:shd w:val="clear" w:color="auto" w:fill="auto"/>
            <w:vAlign w:val="center"/>
          </w:tcPr>
          <w:p>
            <w:pPr>
              <w:adjustRightInd w:val="0"/>
              <w:snapToGrid w:val="0"/>
              <w:spacing w:line="360" w:lineRule="auto"/>
              <w:jc w:val="center"/>
              <w:rPr>
                <w:rFonts w:ascii="仿宋" w:hAnsi="仿宋" w:eastAsia="仿宋"/>
                <w:szCs w:val="21"/>
              </w:rPr>
            </w:pPr>
            <w:r>
              <w:rPr>
                <w:rFonts w:hint="eastAsia" w:ascii="仿宋" w:hAnsi="仿宋" w:eastAsia="仿宋"/>
                <w:szCs w:val="21"/>
              </w:rPr>
              <w:t>商务部分</w:t>
            </w:r>
            <w:r>
              <w:rPr>
                <w:rFonts w:ascii="仿宋" w:hAnsi="仿宋" w:eastAsia="仿宋"/>
                <w:szCs w:val="21"/>
              </w:rPr>
              <w:t>评分标准</w:t>
            </w:r>
          </w:p>
          <w:p>
            <w:pPr>
              <w:adjustRightInd w:val="0"/>
              <w:snapToGrid w:val="0"/>
              <w:spacing w:line="360" w:lineRule="auto"/>
              <w:jc w:val="center"/>
              <w:textAlignment w:val="baseline"/>
              <w:rPr>
                <w:rFonts w:ascii="仿宋" w:hAnsi="仿宋" w:eastAsia="仿宋"/>
                <w:szCs w:val="21"/>
              </w:rPr>
            </w:pPr>
            <w:r>
              <w:rPr>
                <w:rFonts w:ascii="仿宋" w:hAnsi="仿宋" w:eastAsia="仿宋"/>
                <w:szCs w:val="21"/>
              </w:rPr>
              <w:t>（</w:t>
            </w:r>
            <w:r>
              <w:rPr>
                <w:rFonts w:hint="eastAsia" w:ascii="仿宋" w:hAnsi="仿宋" w:eastAsia="仿宋"/>
                <w:szCs w:val="21"/>
              </w:rPr>
              <w:t>3</w:t>
            </w:r>
            <w:r>
              <w:rPr>
                <w:rFonts w:ascii="仿宋" w:hAnsi="仿宋" w:eastAsia="仿宋"/>
                <w:szCs w:val="21"/>
              </w:rPr>
              <w:t>0分）</w:t>
            </w:r>
          </w:p>
        </w:tc>
        <w:tc>
          <w:tcPr>
            <w:tcW w:w="676" w:type="pct"/>
            <w:tcBorders>
              <w:bottom w:val="single" w:color="auto" w:sz="4" w:space="0"/>
            </w:tcBorders>
            <w:shd w:val="clear" w:color="auto" w:fill="auto"/>
            <w:vAlign w:val="center"/>
          </w:tcPr>
          <w:p>
            <w:pPr>
              <w:pStyle w:val="10"/>
              <w:adjustRightInd w:val="0"/>
              <w:snapToGrid w:val="0"/>
              <w:spacing w:line="360" w:lineRule="auto"/>
              <w:ind w:firstLine="0" w:firstLineChars="0"/>
              <w:jc w:val="left"/>
              <w:rPr>
                <w:rFonts w:ascii="仿宋" w:hAnsi="仿宋" w:eastAsia="仿宋"/>
                <w:sz w:val="21"/>
              </w:rPr>
            </w:pPr>
            <w:r>
              <w:rPr>
                <w:rFonts w:ascii="仿宋" w:hAnsi="仿宋" w:eastAsia="仿宋"/>
                <w:sz w:val="21"/>
              </w:rPr>
              <w:t>投标报价</w:t>
            </w:r>
          </w:p>
        </w:tc>
        <w:tc>
          <w:tcPr>
            <w:tcW w:w="451" w:type="pct"/>
            <w:tcBorders>
              <w:bottom w:val="single" w:color="auto" w:sz="4" w:space="0"/>
            </w:tcBorders>
            <w:shd w:val="clear" w:color="auto" w:fill="auto"/>
            <w:vAlign w:val="center"/>
          </w:tcPr>
          <w:p>
            <w:pPr>
              <w:pStyle w:val="10"/>
              <w:adjustRightInd w:val="0"/>
              <w:snapToGrid w:val="0"/>
              <w:spacing w:line="360" w:lineRule="auto"/>
              <w:ind w:firstLine="0" w:firstLineChars="0"/>
              <w:jc w:val="center"/>
              <w:rPr>
                <w:rFonts w:ascii="仿宋" w:hAnsi="仿宋" w:eastAsia="仿宋"/>
                <w:sz w:val="21"/>
              </w:rPr>
            </w:pPr>
            <w:r>
              <w:rPr>
                <w:rFonts w:ascii="仿宋" w:hAnsi="仿宋" w:eastAsia="仿宋"/>
                <w:sz w:val="21"/>
              </w:rPr>
              <w:t>30分</w:t>
            </w:r>
          </w:p>
        </w:tc>
        <w:tc>
          <w:tcPr>
            <w:tcW w:w="2823" w:type="pct"/>
            <w:tcBorders>
              <w:bottom w:val="single" w:color="auto" w:sz="4" w:space="0"/>
            </w:tcBorders>
            <w:shd w:val="clear" w:color="auto" w:fill="auto"/>
            <w:vAlign w:val="center"/>
          </w:tcPr>
          <w:p>
            <w:pPr>
              <w:pStyle w:val="10"/>
              <w:adjustRightInd w:val="0"/>
              <w:snapToGrid w:val="0"/>
              <w:spacing w:line="360" w:lineRule="auto"/>
              <w:ind w:firstLine="0" w:firstLineChars="0"/>
              <w:jc w:val="left"/>
              <w:rPr>
                <w:rFonts w:ascii="仿宋" w:hAnsi="仿宋" w:eastAsia="仿宋"/>
                <w:sz w:val="21"/>
              </w:rPr>
            </w:pPr>
            <w:r>
              <w:rPr>
                <w:rFonts w:ascii="仿宋" w:hAnsi="仿宋" w:eastAsia="仿宋"/>
                <w:sz w:val="21"/>
              </w:rPr>
              <w:t>投标报价评审方法：投标报价等于评标基准价的得基本分20分；投标报价每高于评标基准价1%在20分基础上扣</w:t>
            </w:r>
            <w:r>
              <w:rPr>
                <w:rFonts w:hint="eastAsia" w:ascii="仿宋" w:hAnsi="仿宋" w:eastAsia="仿宋"/>
                <w:sz w:val="21"/>
              </w:rPr>
              <w:t>0.5</w:t>
            </w:r>
            <w:r>
              <w:rPr>
                <w:rFonts w:ascii="仿宋" w:hAnsi="仿宋" w:eastAsia="仿宋"/>
                <w:sz w:val="21"/>
              </w:rPr>
              <w:t>分，</w:t>
            </w:r>
            <w:r>
              <w:rPr>
                <w:rFonts w:hint="eastAsia" w:ascii="仿宋" w:hAnsi="仿宋" w:eastAsia="仿宋"/>
                <w:sz w:val="21"/>
              </w:rPr>
              <w:t>最多</w:t>
            </w:r>
            <w:r>
              <w:rPr>
                <w:rFonts w:ascii="仿宋" w:hAnsi="仿宋" w:eastAsia="仿宋"/>
                <w:sz w:val="21"/>
              </w:rPr>
              <w:t>扣</w:t>
            </w:r>
            <w:r>
              <w:rPr>
                <w:rFonts w:hint="eastAsia" w:ascii="仿宋" w:hAnsi="仿宋" w:eastAsia="仿宋"/>
                <w:sz w:val="21"/>
              </w:rPr>
              <w:t>5分</w:t>
            </w:r>
            <w:r>
              <w:rPr>
                <w:rFonts w:ascii="仿宋" w:hAnsi="仿宋" w:eastAsia="仿宋"/>
                <w:sz w:val="21"/>
              </w:rPr>
              <w:t>；投标报价每低于评标基准价1%在20分基础上加</w:t>
            </w:r>
            <w:r>
              <w:rPr>
                <w:rFonts w:hint="eastAsia" w:ascii="仿宋" w:hAnsi="仿宋" w:eastAsia="仿宋"/>
                <w:sz w:val="21"/>
              </w:rPr>
              <w:t>0.5</w:t>
            </w:r>
            <w:r>
              <w:rPr>
                <w:rFonts w:ascii="仿宋" w:hAnsi="仿宋" w:eastAsia="仿宋"/>
                <w:sz w:val="21"/>
              </w:rPr>
              <w:t>分，最多加5分。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50" w:type="pct"/>
            <w:vMerge w:val="restart"/>
            <w:shd w:val="clear" w:color="auto" w:fill="auto"/>
            <w:vAlign w:val="center"/>
          </w:tcPr>
          <w:p>
            <w:pPr>
              <w:adjustRightInd w:val="0"/>
              <w:snapToGrid w:val="0"/>
              <w:spacing w:line="360" w:lineRule="auto"/>
              <w:jc w:val="center"/>
              <w:rPr>
                <w:rFonts w:ascii="仿宋" w:hAnsi="仿宋" w:eastAsia="仿宋"/>
                <w:szCs w:val="21"/>
              </w:rPr>
            </w:pPr>
            <w:r>
              <w:rPr>
                <w:rFonts w:ascii="仿宋" w:hAnsi="仿宋" w:eastAsia="仿宋"/>
                <w:szCs w:val="21"/>
              </w:rPr>
              <w:t>技术部分评分标准</w:t>
            </w:r>
          </w:p>
          <w:p>
            <w:pPr>
              <w:adjustRightInd w:val="0"/>
              <w:snapToGrid w:val="0"/>
              <w:spacing w:line="360" w:lineRule="auto"/>
              <w:jc w:val="center"/>
              <w:rPr>
                <w:rFonts w:ascii="仿宋" w:hAnsi="仿宋" w:eastAsia="仿宋"/>
                <w:szCs w:val="21"/>
              </w:rPr>
            </w:pPr>
            <w:r>
              <w:rPr>
                <w:rFonts w:ascii="仿宋" w:hAnsi="仿宋" w:eastAsia="仿宋"/>
                <w:szCs w:val="21"/>
              </w:rPr>
              <w:t>（</w:t>
            </w:r>
            <w:r>
              <w:rPr>
                <w:rFonts w:hint="eastAsia" w:ascii="仿宋" w:hAnsi="仿宋" w:eastAsia="仿宋"/>
                <w:szCs w:val="21"/>
              </w:rPr>
              <w:t>7</w:t>
            </w:r>
            <w:r>
              <w:rPr>
                <w:rFonts w:ascii="仿宋" w:hAnsi="仿宋" w:eastAsia="仿宋"/>
                <w:szCs w:val="21"/>
              </w:rPr>
              <w:t>0分）</w:t>
            </w:r>
          </w:p>
        </w:tc>
        <w:tc>
          <w:tcPr>
            <w:tcW w:w="676" w:type="pct"/>
            <w:tcBorders>
              <w:bottom w:val="single" w:color="auto" w:sz="4" w:space="0"/>
            </w:tcBorders>
            <w:shd w:val="clear" w:color="auto" w:fill="auto"/>
            <w:vAlign w:val="center"/>
          </w:tcPr>
          <w:p>
            <w:pPr>
              <w:adjustRightInd w:val="0"/>
              <w:snapToGrid w:val="0"/>
              <w:spacing w:line="360" w:lineRule="auto"/>
              <w:jc w:val="center"/>
              <w:textAlignment w:val="baseline"/>
              <w:rPr>
                <w:rFonts w:ascii="仿宋" w:hAnsi="仿宋" w:eastAsia="仿宋"/>
                <w:szCs w:val="21"/>
              </w:rPr>
            </w:pPr>
            <w:r>
              <w:rPr>
                <w:rFonts w:hint="eastAsia" w:ascii="仿宋" w:hAnsi="仿宋" w:eastAsia="仿宋"/>
                <w:szCs w:val="21"/>
              </w:rPr>
              <w:t>投标人信誉及技术能力证明</w:t>
            </w:r>
          </w:p>
        </w:tc>
        <w:tc>
          <w:tcPr>
            <w:tcW w:w="451" w:type="pct"/>
            <w:tcBorders>
              <w:bottom w:val="single" w:color="auto" w:sz="4" w:space="0"/>
            </w:tcBorders>
            <w:shd w:val="clear" w:color="auto" w:fill="auto"/>
            <w:vAlign w:val="center"/>
          </w:tcPr>
          <w:p>
            <w:pPr>
              <w:pStyle w:val="10"/>
              <w:adjustRightInd w:val="0"/>
              <w:snapToGrid w:val="0"/>
              <w:spacing w:line="360" w:lineRule="auto"/>
              <w:ind w:firstLine="0" w:firstLineChars="0"/>
              <w:jc w:val="center"/>
              <w:rPr>
                <w:rFonts w:ascii="仿宋" w:hAnsi="仿宋" w:eastAsia="仿宋"/>
                <w:sz w:val="21"/>
              </w:rPr>
            </w:pPr>
            <w:r>
              <w:rPr>
                <w:rFonts w:ascii="仿宋" w:hAnsi="仿宋" w:eastAsia="仿宋"/>
                <w:sz w:val="21"/>
              </w:rPr>
              <w:t>12</w:t>
            </w:r>
            <w:r>
              <w:rPr>
                <w:rFonts w:hint="eastAsia" w:ascii="仿宋" w:hAnsi="仿宋" w:eastAsia="仿宋"/>
                <w:sz w:val="21"/>
              </w:rPr>
              <w:t>分</w:t>
            </w:r>
          </w:p>
        </w:tc>
        <w:tc>
          <w:tcPr>
            <w:tcW w:w="2823" w:type="pct"/>
            <w:tcBorders>
              <w:bottom w:val="single" w:color="auto" w:sz="4" w:space="0"/>
            </w:tcBorders>
            <w:shd w:val="clear" w:color="auto" w:fill="auto"/>
            <w:vAlign w:val="center"/>
          </w:tcPr>
          <w:p>
            <w:pPr>
              <w:pStyle w:val="10"/>
              <w:adjustRightInd w:val="0"/>
              <w:snapToGrid w:val="0"/>
              <w:spacing w:line="360" w:lineRule="auto"/>
              <w:ind w:firstLine="0" w:firstLineChars="0"/>
              <w:jc w:val="left"/>
              <w:rPr>
                <w:rFonts w:ascii="仿宋" w:hAnsi="仿宋" w:eastAsia="仿宋"/>
                <w:sz w:val="21"/>
              </w:rPr>
            </w:pPr>
            <w:r>
              <w:rPr>
                <w:rFonts w:hint="eastAsia" w:ascii="仿宋" w:hAnsi="仿宋" w:eastAsia="仿宋"/>
                <w:sz w:val="21"/>
              </w:rPr>
              <w:t>供应商的信誉及技术能力证明：</w:t>
            </w:r>
          </w:p>
          <w:p>
            <w:pPr>
              <w:pStyle w:val="10"/>
              <w:adjustRightInd w:val="0"/>
              <w:snapToGrid w:val="0"/>
              <w:spacing w:line="360" w:lineRule="auto"/>
              <w:ind w:firstLine="0" w:firstLineChars="0"/>
              <w:jc w:val="left"/>
              <w:rPr>
                <w:rFonts w:ascii="仿宋" w:hAnsi="仿宋" w:eastAsia="仿宋"/>
                <w:sz w:val="21"/>
              </w:rPr>
            </w:pPr>
            <w:r>
              <w:rPr>
                <w:rFonts w:hint="eastAsia" w:ascii="仿宋" w:hAnsi="仿宋" w:eastAsia="仿宋"/>
                <w:sz w:val="21"/>
              </w:rPr>
              <w:t>（1）具有CMMI</w:t>
            </w:r>
            <w:r>
              <w:rPr>
                <w:rFonts w:ascii="仿宋" w:hAnsi="仿宋" w:eastAsia="仿宋"/>
                <w:sz w:val="21"/>
              </w:rPr>
              <w:t>5</w:t>
            </w:r>
            <w:r>
              <w:rPr>
                <w:rFonts w:hint="eastAsia" w:ascii="仿宋" w:hAnsi="仿宋" w:eastAsia="仿宋"/>
                <w:sz w:val="21"/>
              </w:rPr>
              <w:t>级证书；</w:t>
            </w:r>
          </w:p>
          <w:p>
            <w:pPr>
              <w:pStyle w:val="10"/>
              <w:adjustRightInd w:val="0"/>
              <w:snapToGrid w:val="0"/>
              <w:spacing w:line="360" w:lineRule="auto"/>
              <w:ind w:firstLine="0" w:firstLineChars="0"/>
              <w:jc w:val="left"/>
              <w:rPr>
                <w:rFonts w:ascii="仿宋" w:hAnsi="仿宋" w:eastAsia="仿宋"/>
                <w:sz w:val="21"/>
              </w:rPr>
            </w:pPr>
            <w:r>
              <w:rPr>
                <w:rFonts w:hint="eastAsia" w:ascii="仿宋" w:hAnsi="仿宋" w:eastAsia="仿宋"/>
                <w:sz w:val="21"/>
              </w:rPr>
              <w:t>（2）具有企业信用等级证书AAA级证书；</w:t>
            </w:r>
          </w:p>
          <w:p>
            <w:pPr>
              <w:pStyle w:val="10"/>
              <w:adjustRightInd w:val="0"/>
              <w:snapToGrid w:val="0"/>
              <w:spacing w:line="360" w:lineRule="auto"/>
              <w:ind w:firstLine="0" w:firstLineChars="0"/>
              <w:jc w:val="left"/>
              <w:rPr>
                <w:rFonts w:ascii="仿宋" w:hAnsi="仿宋" w:eastAsia="仿宋"/>
                <w:sz w:val="21"/>
              </w:rPr>
            </w:pPr>
            <w:r>
              <w:rPr>
                <w:rFonts w:hint="eastAsia" w:ascii="仿宋" w:hAnsi="仿宋" w:eastAsia="仿宋"/>
                <w:sz w:val="21"/>
              </w:rPr>
              <w:t>（3）具有质量服务信誉AAA级企业证书；</w:t>
            </w:r>
          </w:p>
          <w:p>
            <w:pPr>
              <w:pStyle w:val="10"/>
              <w:adjustRightInd w:val="0"/>
              <w:snapToGrid w:val="0"/>
              <w:spacing w:line="360" w:lineRule="auto"/>
              <w:ind w:firstLine="0" w:firstLineChars="0"/>
              <w:jc w:val="left"/>
              <w:rPr>
                <w:rFonts w:ascii="仿宋" w:hAnsi="仿宋" w:eastAsia="仿宋"/>
                <w:sz w:val="21"/>
              </w:rPr>
            </w:pPr>
            <w:r>
              <w:rPr>
                <w:rFonts w:hint="eastAsia" w:ascii="仿宋" w:hAnsi="仿宋" w:eastAsia="仿宋"/>
                <w:sz w:val="21"/>
              </w:rPr>
              <w:t>（4）具有诚信示范企业证书</w:t>
            </w:r>
            <w:r>
              <w:rPr>
                <w:rFonts w:ascii="仿宋" w:hAnsi="仿宋" w:eastAsia="仿宋"/>
                <w:sz w:val="21"/>
              </w:rPr>
              <w:t>；</w:t>
            </w:r>
          </w:p>
          <w:p>
            <w:pPr>
              <w:pStyle w:val="10"/>
              <w:adjustRightInd w:val="0"/>
              <w:snapToGrid w:val="0"/>
              <w:spacing w:line="360" w:lineRule="auto"/>
              <w:ind w:firstLine="0" w:firstLineChars="0"/>
              <w:jc w:val="left"/>
              <w:rPr>
                <w:rFonts w:ascii="仿宋" w:hAnsi="仿宋" w:eastAsia="仿宋"/>
                <w:sz w:val="21"/>
              </w:rPr>
            </w:pPr>
            <w:r>
              <w:rPr>
                <w:rFonts w:hint="eastAsia" w:ascii="仿宋" w:hAnsi="仿宋" w:eastAsia="仿宋"/>
                <w:sz w:val="21"/>
              </w:rPr>
              <w:t>（5）具有优秀信用企业证书</w:t>
            </w:r>
            <w:r>
              <w:rPr>
                <w:rFonts w:ascii="仿宋" w:hAnsi="仿宋" w:eastAsia="仿宋"/>
                <w:sz w:val="21"/>
              </w:rPr>
              <w:t>；</w:t>
            </w:r>
          </w:p>
          <w:p>
            <w:pPr>
              <w:pStyle w:val="10"/>
              <w:adjustRightInd w:val="0"/>
              <w:snapToGrid w:val="0"/>
              <w:spacing w:line="360" w:lineRule="auto"/>
              <w:ind w:firstLine="0" w:firstLineChars="0"/>
              <w:jc w:val="left"/>
              <w:rPr>
                <w:rFonts w:ascii="仿宋" w:hAnsi="仿宋" w:eastAsia="仿宋"/>
                <w:sz w:val="21"/>
              </w:rPr>
            </w:pPr>
            <w:r>
              <w:rPr>
                <w:rFonts w:hint="eastAsia" w:ascii="仿宋" w:hAnsi="仿宋" w:eastAsia="仿宋"/>
                <w:sz w:val="21"/>
              </w:rPr>
              <w:t>（6）具有连续10年及以上获得工商行政管理部门评定为“守合同重信用企业”</w:t>
            </w:r>
          </w:p>
          <w:p>
            <w:pPr>
              <w:pStyle w:val="10"/>
              <w:adjustRightInd w:val="0"/>
              <w:snapToGrid w:val="0"/>
              <w:spacing w:line="360" w:lineRule="auto"/>
              <w:ind w:firstLine="0" w:firstLineChars="0"/>
              <w:jc w:val="left"/>
              <w:rPr>
                <w:rFonts w:ascii="仿宋" w:hAnsi="仿宋" w:eastAsia="仿宋"/>
                <w:sz w:val="21"/>
              </w:rPr>
            </w:pPr>
            <w:r>
              <w:rPr>
                <w:rFonts w:hint="eastAsia" w:ascii="仿宋" w:hAnsi="仿宋" w:eastAsia="仿宋"/>
                <w:sz w:val="21"/>
              </w:rPr>
              <w:t>注：需提供有效期内的证明材料复印件并加盖公章（未提供相关证明材料的，不得分）。</w:t>
            </w:r>
          </w:p>
          <w:p>
            <w:pPr>
              <w:pStyle w:val="10"/>
              <w:adjustRightInd w:val="0"/>
              <w:snapToGrid w:val="0"/>
              <w:spacing w:line="360" w:lineRule="auto"/>
              <w:ind w:firstLine="0" w:firstLineChars="0"/>
              <w:jc w:val="left"/>
              <w:rPr>
                <w:rFonts w:ascii="仿宋" w:hAnsi="仿宋" w:eastAsia="仿宋"/>
                <w:sz w:val="21"/>
              </w:rPr>
            </w:pPr>
            <w:r>
              <w:rPr>
                <w:rFonts w:hint="eastAsia" w:ascii="仿宋" w:hAnsi="仿宋" w:eastAsia="仿宋"/>
                <w:sz w:val="21"/>
              </w:rPr>
              <w:t>该项全部提供</w:t>
            </w:r>
            <w:r>
              <w:rPr>
                <w:rFonts w:ascii="仿宋" w:hAnsi="仿宋" w:eastAsia="仿宋"/>
                <w:sz w:val="21"/>
              </w:rPr>
              <w:t>得</w:t>
            </w:r>
            <w:r>
              <w:rPr>
                <w:rFonts w:hint="eastAsia" w:ascii="仿宋" w:hAnsi="仿宋" w:eastAsia="仿宋"/>
                <w:sz w:val="21"/>
              </w:rPr>
              <w:t>1</w:t>
            </w:r>
            <w:r>
              <w:rPr>
                <w:rFonts w:ascii="仿宋" w:hAnsi="仿宋" w:eastAsia="仿宋"/>
                <w:sz w:val="21"/>
              </w:rPr>
              <w:t>2</w:t>
            </w:r>
            <w:r>
              <w:rPr>
                <w:rFonts w:hint="eastAsia" w:ascii="仿宋" w:hAnsi="仿宋" w:eastAsia="仿宋"/>
                <w:sz w:val="21"/>
              </w:rPr>
              <w:t>分</w:t>
            </w:r>
            <w:r>
              <w:rPr>
                <w:rFonts w:ascii="仿宋" w:hAnsi="仿宋" w:eastAsia="仿宋"/>
                <w:sz w:val="21"/>
              </w:rPr>
              <w:t>，少</w:t>
            </w:r>
            <w:r>
              <w:rPr>
                <w:rFonts w:hint="eastAsia" w:ascii="仿宋" w:hAnsi="仿宋" w:eastAsia="仿宋"/>
                <w:sz w:val="21"/>
              </w:rPr>
              <w:t>1个</w:t>
            </w:r>
            <w:r>
              <w:rPr>
                <w:rFonts w:ascii="仿宋" w:hAnsi="仿宋" w:eastAsia="仿宋"/>
                <w:sz w:val="21"/>
              </w:rPr>
              <w:t>扣2分</w:t>
            </w:r>
            <w:r>
              <w:rPr>
                <w:rFonts w:hint="eastAsia" w:ascii="仿宋" w:hAnsi="仿宋" w:eastAsia="仿宋"/>
                <w:sz w:val="21"/>
              </w:rPr>
              <w:t>，</w:t>
            </w:r>
            <w:r>
              <w:rPr>
                <w:rFonts w:ascii="仿宋" w:hAnsi="仿宋" w:eastAsia="仿宋"/>
                <w:sz w:val="21"/>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50" w:type="pct"/>
            <w:vMerge w:val="continue"/>
            <w:shd w:val="clear" w:color="auto" w:fill="auto"/>
            <w:vAlign w:val="center"/>
          </w:tcPr>
          <w:p>
            <w:pPr>
              <w:adjustRightInd w:val="0"/>
              <w:snapToGrid w:val="0"/>
              <w:spacing w:line="360" w:lineRule="auto"/>
              <w:jc w:val="center"/>
              <w:rPr>
                <w:rFonts w:ascii="仿宋" w:hAnsi="仿宋" w:eastAsia="仿宋"/>
                <w:szCs w:val="21"/>
              </w:rPr>
            </w:pPr>
          </w:p>
        </w:tc>
        <w:tc>
          <w:tcPr>
            <w:tcW w:w="676" w:type="pct"/>
            <w:tcBorders>
              <w:bottom w:val="single" w:color="auto" w:sz="4" w:space="0"/>
            </w:tcBorders>
            <w:shd w:val="clear" w:color="auto" w:fill="auto"/>
            <w:vAlign w:val="center"/>
          </w:tcPr>
          <w:p>
            <w:pPr>
              <w:adjustRightInd w:val="0"/>
              <w:snapToGrid w:val="0"/>
              <w:spacing w:line="360" w:lineRule="auto"/>
              <w:jc w:val="center"/>
              <w:textAlignment w:val="baseline"/>
              <w:rPr>
                <w:rFonts w:ascii="仿宋" w:hAnsi="仿宋" w:eastAsia="仿宋"/>
                <w:szCs w:val="21"/>
              </w:rPr>
            </w:pPr>
            <w:r>
              <w:rPr>
                <w:rFonts w:ascii="仿宋" w:hAnsi="仿宋" w:eastAsia="仿宋"/>
                <w:color w:val="000000"/>
                <w:szCs w:val="21"/>
              </w:rPr>
              <w:t>类似</w:t>
            </w:r>
            <w:r>
              <w:rPr>
                <w:rFonts w:hint="eastAsia" w:ascii="仿宋" w:hAnsi="仿宋" w:eastAsia="仿宋"/>
                <w:color w:val="000000"/>
                <w:szCs w:val="21"/>
              </w:rPr>
              <w:t>项目</w:t>
            </w:r>
            <w:r>
              <w:rPr>
                <w:rFonts w:ascii="仿宋" w:hAnsi="仿宋" w:eastAsia="仿宋"/>
                <w:color w:val="000000"/>
                <w:szCs w:val="21"/>
              </w:rPr>
              <w:t>业绩</w:t>
            </w:r>
          </w:p>
        </w:tc>
        <w:tc>
          <w:tcPr>
            <w:tcW w:w="451" w:type="pct"/>
            <w:tcBorders>
              <w:bottom w:val="single" w:color="auto" w:sz="4" w:space="0"/>
            </w:tcBorders>
            <w:shd w:val="clear" w:color="auto" w:fill="auto"/>
            <w:vAlign w:val="center"/>
          </w:tcPr>
          <w:p>
            <w:pPr>
              <w:pStyle w:val="10"/>
              <w:adjustRightInd w:val="0"/>
              <w:snapToGrid w:val="0"/>
              <w:spacing w:line="360" w:lineRule="auto"/>
              <w:ind w:firstLine="0" w:firstLineChars="0"/>
              <w:jc w:val="center"/>
              <w:rPr>
                <w:rFonts w:ascii="仿宋" w:hAnsi="仿宋" w:eastAsia="仿宋"/>
                <w:sz w:val="21"/>
              </w:rPr>
            </w:pPr>
            <w:r>
              <w:rPr>
                <w:rFonts w:hint="eastAsia" w:ascii="仿宋" w:hAnsi="仿宋" w:eastAsia="仿宋"/>
                <w:sz w:val="21"/>
              </w:rPr>
              <w:t>8分</w:t>
            </w:r>
          </w:p>
        </w:tc>
        <w:tc>
          <w:tcPr>
            <w:tcW w:w="2823" w:type="pct"/>
            <w:tcBorders>
              <w:bottom w:val="single" w:color="auto" w:sz="4" w:space="0"/>
            </w:tcBorders>
            <w:shd w:val="clear" w:color="auto" w:fill="auto"/>
            <w:vAlign w:val="center"/>
          </w:tcPr>
          <w:p>
            <w:pPr>
              <w:pStyle w:val="10"/>
              <w:adjustRightInd w:val="0"/>
              <w:snapToGrid w:val="0"/>
              <w:spacing w:line="360" w:lineRule="auto"/>
              <w:ind w:firstLine="0" w:firstLineChars="0"/>
              <w:jc w:val="left"/>
              <w:rPr>
                <w:rFonts w:ascii="仿宋" w:hAnsi="仿宋" w:eastAsia="仿宋"/>
                <w:sz w:val="21"/>
              </w:rPr>
            </w:pPr>
            <w:r>
              <w:rPr>
                <w:rFonts w:hint="eastAsia" w:ascii="仿宋" w:hAnsi="仿宋" w:eastAsia="仿宋"/>
                <w:sz w:val="21"/>
              </w:rPr>
              <w:t>投标人</w:t>
            </w:r>
            <w:r>
              <w:rPr>
                <w:rFonts w:ascii="仿宋" w:hAnsi="仿宋" w:eastAsia="仿宋"/>
                <w:sz w:val="21"/>
              </w:rPr>
              <w:t>具有</w:t>
            </w:r>
            <w:r>
              <w:rPr>
                <w:rFonts w:hint="eastAsia" w:ascii="仿宋" w:hAnsi="仿宋" w:eastAsia="仿宋"/>
                <w:sz w:val="21"/>
              </w:rPr>
              <w:t>互联网医院项目</w:t>
            </w:r>
            <w:r>
              <w:rPr>
                <w:rFonts w:ascii="仿宋" w:hAnsi="仿宋" w:eastAsia="仿宋"/>
                <w:sz w:val="21"/>
              </w:rPr>
              <w:t>建设经验</w:t>
            </w:r>
            <w:r>
              <w:rPr>
                <w:rFonts w:hint="eastAsia" w:ascii="仿宋" w:hAnsi="仿宋" w:eastAsia="仿宋"/>
                <w:sz w:val="21"/>
              </w:rPr>
              <w:t>，以对应项目的合同书关键页复印件为准（关键页</w:t>
            </w:r>
            <w:r>
              <w:rPr>
                <w:rFonts w:ascii="仿宋" w:hAnsi="仿宋" w:eastAsia="仿宋"/>
                <w:sz w:val="21"/>
              </w:rPr>
              <w:t>包括：</w:t>
            </w:r>
            <w:r>
              <w:rPr>
                <w:rFonts w:hint="eastAsia" w:ascii="仿宋" w:hAnsi="仿宋" w:eastAsia="仿宋"/>
                <w:sz w:val="21"/>
              </w:rPr>
              <w:t>首页</w:t>
            </w:r>
            <w:r>
              <w:rPr>
                <w:rFonts w:ascii="仿宋" w:hAnsi="仿宋" w:eastAsia="仿宋"/>
                <w:sz w:val="21"/>
              </w:rPr>
              <w:t>、</w:t>
            </w:r>
            <w:r>
              <w:rPr>
                <w:rFonts w:hint="eastAsia" w:ascii="仿宋" w:hAnsi="仿宋" w:eastAsia="仿宋"/>
                <w:sz w:val="21"/>
              </w:rPr>
              <w:t>内容页。投标人应提供</w:t>
            </w:r>
            <w:r>
              <w:rPr>
                <w:rFonts w:hint="eastAsia" w:ascii="仿宋" w:hAnsi="仿宋" w:eastAsia="仿宋"/>
                <w:b/>
                <w:bCs/>
                <w:sz w:val="21"/>
              </w:rPr>
              <w:t>至少</w:t>
            </w:r>
            <w:r>
              <w:rPr>
                <w:rFonts w:ascii="仿宋" w:hAnsi="仿宋" w:eastAsia="仿宋"/>
                <w:b/>
                <w:bCs/>
                <w:sz w:val="21"/>
              </w:rPr>
              <w:t>2</w:t>
            </w:r>
            <w:r>
              <w:rPr>
                <w:rFonts w:hint="eastAsia" w:ascii="仿宋" w:hAnsi="仿宋" w:eastAsia="仿宋"/>
                <w:b/>
                <w:bCs/>
                <w:sz w:val="21"/>
              </w:rPr>
              <w:t>项</w:t>
            </w:r>
            <w:r>
              <w:rPr>
                <w:rFonts w:hint="eastAsia" w:ascii="仿宋" w:hAnsi="仿宋" w:eastAsia="仿宋"/>
                <w:sz w:val="21"/>
              </w:rPr>
              <w:t>互联网医院项目相关的业绩合同复印件，每提供1项业绩得</w:t>
            </w:r>
            <w:r>
              <w:rPr>
                <w:rFonts w:ascii="仿宋" w:hAnsi="仿宋" w:eastAsia="仿宋"/>
                <w:sz w:val="21"/>
              </w:rPr>
              <w:t>2</w:t>
            </w:r>
            <w:r>
              <w:rPr>
                <w:rFonts w:hint="eastAsia" w:ascii="仿宋" w:hAnsi="仿宋" w:eastAsia="仿宋"/>
                <w:sz w:val="21"/>
              </w:rPr>
              <w:t>分，最高</w:t>
            </w:r>
            <w:r>
              <w:rPr>
                <w:rFonts w:ascii="仿宋" w:hAnsi="仿宋" w:eastAsia="仿宋"/>
                <w:sz w:val="21"/>
              </w:rPr>
              <w:t>8</w:t>
            </w:r>
            <w:r>
              <w:rPr>
                <w:rFonts w:hint="eastAsia" w:ascii="仿宋" w:hAnsi="仿宋" w:eastAsia="仿宋"/>
                <w:sz w:val="21"/>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050" w:type="pct"/>
            <w:vMerge w:val="continue"/>
            <w:shd w:val="clear" w:color="auto" w:fill="auto"/>
            <w:vAlign w:val="center"/>
          </w:tcPr>
          <w:p>
            <w:pPr>
              <w:adjustRightInd w:val="0"/>
              <w:snapToGrid w:val="0"/>
              <w:spacing w:line="360" w:lineRule="auto"/>
              <w:jc w:val="center"/>
              <w:rPr>
                <w:rFonts w:ascii="仿宋" w:hAnsi="仿宋" w:eastAsia="仿宋"/>
                <w:szCs w:val="21"/>
              </w:rPr>
            </w:pPr>
          </w:p>
        </w:tc>
        <w:tc>
          <w:tcPr>
            <w:tcW w:w="676" w:type="pct"/>
            <w:tcBorders>
              <w:bottom w:val="single" w:color="auto" w:sz="4" w:space="0"/>
            </w:tcBorders>
            <w:shd w:val="clear" w:color="auto" w:fill="auto"/>
            <w:vAlign w:val="center"/>
          </w:tcPr>
          <w:p>
            <w:pPr>
              <w:pStyle w:val="10"/>
              <w:adjustRightInd w:val="0"/>
              <w:snapToGrid w:val="0"/>
              <w:spacing w:line="360" w:lineRule="auto"/>
              <w:ind w:firstLine="0" w:firstLineChars="0"/>
              <w:jc w:val="left"/>
              <w:rPr>
                <w:rFonts w:ascii="仿宋" w:hAnsi="仿宋" w:eastAsia="仿宋"/>
                <w:sz w:val="21"/>
              </w:rPr>
            </w:pPr>
            <w:r>
              <w:rPr>
                <w:rFonts w:hint="eastAsia" w:ascii="仿宋" w:hAnsi="仿宋" w:eastAsia="仿宋"/>
                <w:color w:val="000000"/>
                <w:sz w:val="21"/>
              </w:rPr>
              <w:t>拟安排的项目主要团队成员情况</w:t>
            </w:r>
          </w:p>
        </w:tc>
        <w:tc>
          <w:tcPr>
            <w:tcW w:w="451" w:type="pct"/>
            <w:tcBorders>
              <w:bottom w:val="single" w:color="auto" w:sz="4" w:space="0"/>
            </w:tcBorders>
            <w:shd w:val="clear" w:color="auto" w:fill="auto"/>
            <w:vAlign w:val="center"/>
          </w:tcPr>
          <w:p>
            <w:pPr>
              <w:pStyle w:val="10"/>
              <w:adjustRightInd w:val="0"/>
              <w:snapToGrid w:val="0"/>
              <w:spacing w:line="360" w:lineRule="auto"/>
              <w:ind w:firstLine="0" w:firstLineChars="0"/>
              <w:jc w:val="center"/>
              <w:rPr>
                <w:rFonts w:ascii="仿宋" w:hAnsi="仿宋" w:eastAsia="仿宋"/>
                <w:sz w:val="21"/>
              </w:rPr>
            </w:pPr>
            <w:r>
              <w:rPr>
                <w:rFonts w:hint="eastAsia" w:ascii="仿宋" w:hAnsi="仿宋" w:eastAsia="仿宋"/>
                <w:sz w:val="21"/>
              </w:rPr>
              <w:t>1</w:t>
            </w:r>
            <w:r>
              <w:rPr>
                <w:rFonts w:ascii="仿宋" w:hAnsi="仿宋" w:eastAsia="仿宋"/>
                <w:sz w:val="21"/>
              </w:rPr>
              <w:t>0</w:t>
            </w:r>
            <w:r>
              <w:rPr>
                <w:rFonts w:hint="eastAsia" w:ascii="仿宋" w:hAnsi="仿宋" w:eastAsia="仿宋"/>
                <w:sz w:val="21"/>
              </w:rPr>
              <w:t>分</w:t>
            </w:r>
          </w:p>
        </w:tc>
        <w:tc>
          <w:tcPr>
            <w:tcW w:w="2823" w:type="pct"/>
            <w:tcBorders>
              <w:bottom w:val="single" w:color="auto" w:sz="4" w:space="0"/>
            </w:tcBorders>
            <w:shd w:val="clear" w:color="auto" w:fill="auto"/>
            <w:vAlign w:val="center"/>
          </w:tcPr>
          <w:p>
            <w:pPr>
              <w:adjustRightInd w:val="0"/>
              <w:snapToGrid w:val="0"/>
              <w:spacing w:line="360" w:lineRule="auto"/>
              <w:rPr>
                <w:rFonts w:ascii="仿宋" w:hAnsi="仿宋" w:eastAsia="仿宋" w:cs="宋体"/>
                <w:color w:val="000000"/>
                <w:szCs w:val="21"/>
              </w:rPr>
            </w:pPr>
            <w:r>
              <w:rPr>
                <w:rFonts w:hint="eastAsia" w:ascii="仿宋" w:hAnsi="仿宋" w:eastAsia="仿宋" w:cs="宋体"/>
                <w:color w:val="000000"/>
                <w:szCs w:val="21"/>
              </w:rPr>
              <w:t>（一）项目负责人（提供</w:t>
            </w:r>
            <w:r>
              <w:rPr>
                <w:rFonts w:ascii="仿宋" w:hAnsi="仿宋" w:eastAsia="仿宋" w:cs="宋体"/>
                <w:color w:val="000000"/>
                <w:szCs w:val="21"/>
              </w:rPr>
              <w:t>公司劳动合同复印件为证明文件</w:t>
            </w:r>
            <w:r>
              <w:rPr>
                <w:rFonts w:hint="eastAsia" w:ascii="仿宋" w:hAnsi="仿宋" w:eastAsia="仿宋" w:cs="宋体"/>
                <w:color w:val="000000"/>
                <w:szCs w:val="21"/>
              </w:rPr>
              <w:t>）：</w:t>
            </w:r>
          </w:p>
          <w:p>
            <w:pPr>
              <w:adjustRightInd w:val="0"/>
              <w:snapToGrid w:val="0"/>
              <w:spacing w:line="360" w:lineRule="auto"/>
              <w:rPr>
                <w:rFonts w:ascii="仿宋" w:hAnsi="仿宋" w:eastAsia="仿宋" w:cs="宋体"/>
                <w:color w:val="000000"/>
                <w:szCs w:val="21"/>
              </w:rPr>
            </w:pPr>
            <w:r>
              <w:rPr>
                <w:rFonts w:hint="eastAsia" w:ascii="仿宋" w:hAnsi="仿宋" w:eastAsia="仿宋" w:cs="宋体"/>
                <w:color w:val="000000"/>
                <w:szCs w:val="21"/>
              </w:rPr>
              <w:t>考察项目拟安排负责人的基本能力情况，本项目拟安排项目负责人：</w:t>
            </w:r>
          </w:p>
          <w:p>
            <w:pPr>
              <w:adjustRightInd w:val="0"/>
              <w:snapToGrid w:val="0"/>
              <w:spacing w:line="360" w:lineRule="auto"/>
              <w:rPr>
                <w:rFonts w:ascii="仿宋" w:hAnsi="仿宋" w:eastAsia="仿宋" w:cs="宋体"/>
                <w:color w:val="000000"/>
                <w:szCs w:val="21"/>
              </w:rPr>
            </w:pPr>
            <w:r>
              <w:rPr>
                <w:rFonts w:hint="eastAsia" w:ascii="仿宋" w:hAnsi="仿宋" w:eastAsia="仿宋" w:cs="宋体"/>
                <w:color w:val="000000"/>
                <w:szCs w:val="21"/>
              </w:rPr>
              <w:t>1.具备硕士（含）以上学位；</w:t>
            </w:r>
          </w:p>
          <w:p>
            <w:pPr>
              <w:adjustRightInd w:val="0"/>
              <w:snapToGrid w:val="0"/>
              <w:spacing w:line="360" w:lineRule="auto"/>
              <w:rPr>
                <w:rFonts w:ascii="仿宋" w:hAnsi="仿宋" w:eastAsia="仿宋" w:cs="宋体"/>
                <w:color w:val="000000"/>
                <w:szCs w:val="21"/>
              </w:rPr>
            </w:pPr>
            <w:r>
              <w:rPr>
                <w:rFonts w:hint="eastAsia" w:ascii="仿宋" w:hAnsi="仿宋" w:eastAsia="仿宋" w:cs="宋体"/>
                <w:color w:val="000000"/>
                <w:szCs w:val="21"/>
              </w:rPr>
              <w:t>2.具备PMI发起的项目管理专业人员资格认证证书；</w:t>
            </w:r>
          </w:p>
          <w:p>
            <w:pPr>
              <w:adjustRightInd w:val="0"/>
              <w:snapToGrid w:val="0"/>
              <w:spacing w:line="360" w:lineRule="auto"/>
              <w:rPr>
                <w:rFonts w:ascii="仿宋" w:hAnsi="仿宋" w:eastAsia="仿宋" w:cs="宋体"/>
                <w:color w:val="000000"/>
                <w:szCs w:val="21"/>
              </w:rPr>
            </w:pPr>
            <w:r>
              <w:rPr>
                <w:rFonts w:hint="eastAsia" w:ascii="仿宋" w:hAnsi="仿宋" w:eastAsia="仿宋" w:cs="宋体"/>
                <w:color w:val="000000"/>
                <w:szCs w:val="21"/>
              </w:rPr>
              <w:t>3.具备生产与库存运作管理协会颁发的APICS证书；</w:t>
            </w:r>
          </w:p>
          <w:p>
            <w:pPr>
              <w:adjustRightInd w:val="0"/>
              <w:snapToGrid w:val="0"/>
              <w:spacing w:line="360" w:lineRule="auto"/>
              <w:rPr>
                <w:rFonts w:ascii="仿宋" w:hAnsi="仿宋" w:eastAsia="仿宋" w:cs="宋体"/>
                <w:color w:val="000000"/>
                <w:szCs w:val="21"/>
              </w:rPr>
            </w:pPr>
            <w:r>
              <w:rPr>
                <w:rFonts w:hint="eastAsia" w:ascii="仿宋" w:hAnsi="仿宋" w:eastAsia="仿宋" w:cs="宋体"/>
                <w:color w:val="000000"/>
                <w:szCs w:val="21"/>
              </w:rPr>
              <w:t>全部提供以上证书得6分，</w:t>
            </w:r>
            <w:r>
              <w:rPr>
                <w:rFonts w:hint="eastAsia" w:ascii="仿宋" w:hAnsi="仿宋" w:eastAsia="仿宋" w:cs="微软雅黑"/>
                <w:color w:val="000000"/>
                <w:szCs w:val="21"/>
              </w:rPr>
              <w:t>否则不得分</w:t>
            </w:r>
            <w:r>
              <w:rPr>
                <w:rFonts w:ascii="仿宋" w:hAnsi="仿宋" w:eastAsia="仿宋" w:cs="微软雅黑"/>
                <w:color w:val="000000"/>
                <w:szCs w:val="21"/>
              </w:rPr>
              <w:t>。</w:t>
            </w:r>
            <w:r>
              <w:rPr>
                <w:rFonts w:hint="eastAsia" w:ascii="仿宋" w:hAnsi="仿宋" w:eastAsia="仿宋" w:cs="微软雅黑"/>
                <w:color w:val="000000"/>
                <w:szCs w:val="21"/>
              </w:rPr>
              <w:t>（</w:t>
            </w:r>
            <w:r>
              <w:rPr>
                <w:rFonts w:hint="eastAsia" w:ascii="仿宋" w:hAnsi="仿宋" w:eastAsia="仿宋" w:cs="宋体"/>
                <w:color w:val="000000"/>
                <w:szCs w:val="21"/>
              </w:rPr>
              <w:t>1.项目经理成员必须为投标人自有员工，提供相关人员及开标日前由投标人为其缴交的载有社保部门公章的近半年</w:t>
            </w:r>
            <w:r>
              <w:rPr>
                <w:rFonts w:ascii="仿宋" w:hAnsi="仿宋" w:eastAsia="仿宋" w:cs="宋体"/>
                <w:color w:val="000000"/>
                <w:szCs w:val="21"/>
              </w:rPr>
              <w:t>内</w:t>
            </w:r>
            <w:r>
              <w:rPr>
                <w:rFonts w:hint="eastAsia" w:ascii="仿宋" w:hAnsi="仿宋" w:eastAsia="仿宋" w:cs="宋体"/>
                <w:color w:val="000000"/>
                <w:szCs w:val="21"/>
              </w:rPr>
              <w:t>任意一个月社保缴交证明材料，如开标日上一个月的社保材料因社保部门原因暂时无法取得，则可以往前顺延一个月。</w:t>
            </w:r>
            <w:r>
              <w:rPr>
                <w:rFonts w:hint="eastAsia" w:ascii="仿宋" w:hAnsi="仿宋" w:eastAsia="仿宋" w:cs="微软雅黑"/>
                <w:color w:val="000000"/>
                <w:szCs w:val="21"/>
              </w:rPr>
              <w:t>）</w:t>
            </w:r>
          </w:p>
          <w:p>
            <w:pPr>
              <w:adjustRightInd w:val="0"/>
              <w:snapToGrid w:val="0"/>
              <w:spacing w:line="360" w:lineRule="auto"/>
              <w:rPr>
                <w:rFonts w:ascii="仿宋" w:hAnsi="仿宋" w:eastAsia="仿宋" w:cs="宋体"/>
                <w:color w:val="000000"/>
                <w:szCs w:val="21"/>
              </w:rPr>
            </w:pPr>
            <w:r>
              <w:rPr>
                <w:rFonts w:hint="eastAsia" w:ascii="仿宋" w:hAnsi="仿宋" w:eastAsia="仿宋" w:cs="宋体"/>
                <w:color w:val="000000"/>
                <w:szCs w:val="21"/>
              </w:rPr>
              <w:t>（二）项目团队资质：</w:t>
            </w:r>
          </w:p>
          <w:p>
            <w:pPr>
              <w:adjustRightInd w:val="0"/>
              <w:snapToGrid w:val="0"/>
              <w:spacing w:line="360" w:lineRule="auto"/>
              <w:rPr>
                <w:rFonts w:ascii="仿宋" w:hAnsi="仿宋" w:eastAsia="仿宋" w:cs="宋体"/>
                <w:color w:val="000000"/>
                <w:szCs w:val="21"/>
              </w:rPr>
            </w:pPr>
            <w:r>
              <w:rPr>
                <w:rFonts w:hint="eastAsia" w:ascii="仿宋" w:hAnsi="仿宋" w:eastAsia="仿宋" w:cs="宋体"/>
                <w:color w:val="000000"/>
                <w:szCs w:val="21"/>
              </w:rPr>
              <w:t xml:space="preserve">总体要求：团队成员需具备相关的技术支持能力，要求提供以下证书作为佐证材料。具体要求如下： </w:t>
            </w:r>
          </w:p>
          <w:p>
            <w:pPr>
              <w:adjustRightInd w:val="0"/>
              <w:snapToGrid w:val="0"/>
              <w:spacing w:line="360" w:lineRule="auto"/>
              <w:rPr>
                <w:rFonts w:ascii="仿宋" w:hAnsi="仿宋" w:eastAsia="仿宋" w:cs="宋体"/>
                <w:color w:val="000000"/>
                <w:szCs w:val="21"/>
              </w:rPr>
            </w:pPr>
            <w:r>
              <w:rPr>
                <w:rFonts w:hint="eastAsia" w:ascii="仿宋" w:hAnsi="仿宋" w:eastAsia="仿宋" w:cs="宋体"/>
                <w:color w:val="000000"/>
                <w:szCs w:val="21"/>
              </w:rPr>
              <w:t>项目团队中（不含项目经理）</w:t>
            </w:r>
          </w:p>
          <w:p>
            <w:pPr>
              <w:adjustRightInd w:val="0"/>
              <w:snapToGrid w:val="0"/>
              <w:spacing w:line="360" w:lineRule="auto"/>
              <w:rPr>
                <w:rFonts w:ascii="仿宋" w:hAnsi="仿宋" w:eastAsia="仿宋" w:cs="宋体"/>
                <w:color w:val="000000"/>
                <w:szCs w:val="21"/>
              </w:rPr>
            </w:pPr>
            <w:r>
              <w:rPr>
                <w:rFonts w:hint="eastAsia" w:ascii="仿宋" w:hAnsi="仿宋" w:eastAsia="仿宋" w:cs="宋体"/>
                <w:color w:val="000000"/>
                <w:szCs w:val="21"/>
              </w:rPr>
              <w:t xml:space="preserve"> (</w:t>
            </w:r>
            <w:r>
              <w:rPr>
                <w:rFonts w:ascii="仿宋" w:hAnsi="仿宋" w:eastAsia="仿宋" w:cs="宋体"/>
                <w:color w:val="000000"/>
                <w:szCs w:val="21"/>
              </w:rPr>
              <w:t>1</w:t>
            </w:r>
            <w:r>
              <w:rPr>
                <w:rFonts w:hint="eastAsia" w:ascii="仿宋" w:hAnsi="仿宋" w:eastAsia="仿宋" w:cs="宋体"/>
                <w:color w:val="000000"/>
                <w:szCs w:val="21"/>
              </w:rPr>
              <w:t>) 1人或以上具有中级或以上系统集成项目管理工程师证书</w:t>
            </w:r>
          </w:p>
          <w:p>
            <w:pPr>
              <w:adjustRightInd w:val="0"/>
              <w:snapToGrid w:val="0"/>
              <w:spacing w:line="360" w:lineRule="auto"/>
              <w:rPr>
                <w:rFonts w:ascii="仿宋" w:hAnsi="仿宋" w:eastAsia="仿宋" w:cs="宋体"/>
                <w:color w:val="000000"/>
                <w:szCs w:val="21"/>
              </w:rPr>
            </w:pPr>
            <w:r>
              <w:rPr>
                <w:rFonts w:hint="eastAsia" w:ascii="仿宋" w:hAnsi="仿宋" w:eastAsia="仿宋" w:cs="宋体"/>
                <w:color w:val="000000"/>
                <w:szCs w:val="21"/>
              </w:rPr>
              <w:t>(</w:t>
            </w:r>
            <w:r>
              <w:rPr>
                <w:rFonts w:ascii="仿宋" w:hAnsi="仿宋" w:eastAsia="仿宋" w:cs="宋体"/>
                <w:color w:val="000000"/>
                <w:szCs w:val="21"/>
              </w:rPr>
              <w:t>2</w:t>
            </w:r>
            <w:r>
              <w:rPr>
                <w:rFonts w:hint="eastAsia" w:ascii="仿宋" w:hAnsi="仿宋" w:eastAsia="仿宋" w:cs="宋体"/>
                <w:color w:val="000000"/>
                <w:szCs w:val="21"/>
              </w:rPr>
              <w:t>) 1人或以上具有中级或以上信息系统管理工程师证书</w:t>
            </w:r>
          </w:p>
          <w:p>
            <w:pPr>
              <w:adjustRightInd w:val="0"/>
              <w:snapToGrid w:val="0"/>
              <w:spacing w:line="360" w:lineRule="auto"/>
              <w:rPr>
                <w:rFonts w:ascii="仿宋" w:hAnsi="仿宋" w:eastAsia="仿宋" w:cs="宋体"/>
                <w:color w:val="000000"/>
                <w:szCs w:val="21"/>
              </w:rPr>
            </w:pPr>
            <w:r>
              <w:rPr>
                <w:rFonts w:hint="eastAsia" w:ascii="仿宋" w:hAnsi="仿宋" w:eastAsia="仿宋" w:cs="宋体"/>
                <w:color w:val="000000"/>
                <w:szCs w:val="21"/>
              </w:rPr>
              <w:t>(</w:t>
            </w:r>
            <w:r>
              <w:rPr>
                <w:rFonts w:ascii="仿宋" w:hAnsi="仿宋" w:eastAsia="仿宋" w:cs="宋体"/>
                <w:color w:val="000000"/>
                <w:szCs w:val="21"/>
              </w:rPr>
              <w:t>3</w:t>
            </w:r>
            <w:r>
              <w:rPr>
                <w:rFonts w:hint="eastAsia" w:ascii="仿宋" w:hAnsi="仿宋" w:eastAsia="仿宋" w:cs="宋体"/>
                <w:color w:val="000000"/>
                <w:szCs w:val="21"/>
              </w:rPr>
              <w:t>) 1人或以上具有中级或以上数据库系统工程师证书</w:t>
            </w:r>
          </w:p>
          <w:p>
            <w:pPr>
              <w:adjustRightInd w:val="0"/>
              <w:snapToGrid w:val="0"/>
              <w:spacing w:line="360" w:lineRule="auto"/>
              <w:rPr>
                <w:rFonts w:ascii="仿宋" w:hAnsi="仿宋" w:eastAsia="仿宋" w:cs="宋体"/>
                <w:color w:val="000000"/>
                <w:szCs w:val="21"/>
              </w:rPr>
            </w:pPr>
            <w:r>
              <w:rPr>
                <w:rFonts w:hint="eastAsia" w:ascii="仿宋" w:hAnsi="仿宋" w:eastAsia="仿宋" w:cs="宋体"/>
                <w:color w:val="000000"/>
                <w:szCs w:val="21"/>
              </w:rPr>
              <w:t>(</w:t>
            </w:r>
            <w:r>
              <w:rPr>
                <w:rFonts w:ascii="仿宋" w:hAnsi="仿宋" w:eastAsia="仿宋" w:cs="宋体"/>
                <w:color w:val="000000"/>
                <w:szCs w:val="21"/>
              </w:rPr>
              <w:t>4</w:t>
            </w:r>
            <w:r>
              <w:rPr>
                <w:rFonts w:hint="eastAsia" w:ascii="仿宋" w:hAnsi="仿宋" w:eastAsia="仿宋" w:cs="宋体"/>
                <w:color w:val="000000"/>
                <w:szCs w:val="21"/>
              </w:rPr>
              <w:t>) 1人或以上具有中级或以上网络工程师证书</w:t>
            </w:r>
          </w:p>
          <w:p>
            <w:pPr>
              <w:adjustRightInd w:val="0"/>
              <w:snapToGrid w:val="0"/>
              <w:spacing w:line="360" w:lineRule="auto"/>
              <w:rPr>
                <w:rFonts w:ascii="仿宋" w:hAnsi="仿宋" w:eastAsia="仿宋" w:cs="宋体"/>
                <w:color w:val="000000"/>
                <w:szCs w:val="21"/>
              </w:rPr>
            </w:pPr>
            <w:r>
              <w:rPr>
                <w:rFonts w:hint="eastAsia" w:ascii="仿宋" w:hAnsi="仿宋" w:eastAsia="仿宋" w:cs="宋体"/>
                <w:color w:val="000000"/>
                <w:szCs w:val="21"/>
              </w:rPr>
              <w:t>每个1分</w:t>
            </w:r>
            <w:r>
              <w:rPr>
                <w:rFonts w:ascii="仿宋" w:hAnsi="仿宋" w:eastAsia="仿宋" w:cs="宋体"/>
                <w:color w:val="000000"/>
                <w:szCs w:val="21"/>
              </w:rPr>
              <w:t>，</w:t>
            </w:r>
            <w:r>
              <w:rPr>
                <w:rFonts w:hint="eastAsia" w:ascii="仿宋" w:hAnsi="仿宋" w:eastAsia="仿宋" w:cs="宋体"/>
                <w:color w:val="000000"/>
                <w:szCs w:val="21"/>
              </w:rPr>
              <w:t>满分4分。</w:t>
            </w:r>
          </w:p>
          <w:p>
            <w:pPr>
              <w:adjustRightInd w:val="0"/>
              <w:snapToGrid w:val="0"/>
              <w:spacing w:line="360" w:lineRule="auto"/>
              <w:rPr>
                <w:rFonts w:ascii="仿宋" w:hAnsi="仿宋" w:eastAsia="仿宋" w:cs="宋体"/>
                <w:b/>
                <w:color w:val="000000"/>
                <w:szCs w:val="21"/>
              </w:rPr>
            </w:pPr>
            <w:r>
              <w:rPr>
                <w:rFonts w:hint="eastAsia" w:ascii="仿宋" w:hAnsi="仿宋" w:eastAsia="仿宋" w:cs="宋体"/>
                <w:b/>
                <w:color w:val="000000"/>
                <w:szCs w:val="21"/>
              </w:rPr>
              <w:t>注：</w:t>
            </w:r>
          </w:p>
          <w:p>
            <w:pPr>
              <w:adjustRightInd w:val="0"/>
              <w:snapToGrid w:val="0"/>
              <w:spacing w:line="360" w:lineRule="auto"/>
              <w:rPr>
                <w:rFonts w:ascii="仿宋" w:hAnsi="仿宋" w:eastAsia="仿宋" w:cs="宋体"/>
                <w:color w:val="000000"/>
                <w:szCs w:val="21"/>
              </w:rPr>
            </w:pPr>
            <w:r>
              <w:rPr>
                <w:rFonts w:hint="eastAsia" w:ascii="仿宋" w:hAnsi="仿宋" w:eastAsia="仿宋" w:cs="宋体"/>
                <w:color w:val="000000"/>
                <w:szCs w:val="21"/>
              </w:rPr>
              <w:t>1.项目团队成员必须为投标人自有员工，提供相关人员及开标日前由投标人为其缴交的载有社保部门公章的近半年</w:t>
            </w:r>
            <w:r>
              <w:rPr>
                <w:rFonts w:ascii="仿宋" w:hAnsi="仿宋" w:eastAsia="仿宋" w:cs="宋体"/>
                <w:color w:val="000000"/>
                <w:szCs w:val="21"/>
              </w:rPr>
              <w:t>内</w:t>
            </w:r>
            <w:r>
              <w:rPr>
                <w:rFonts w:hint="eastAsia" w:ascii="仿宋" w:hAnsi="仿宋" w:eastAsia="仿宋" w:cs="宋体"/>
                <w:color w:val="000000"/>
                <w:szCs w:val="21"/>
              </w:rPr>
              <w:t>任意一个月社保缴交证明材料，如开标日上一个月的社保材料因社保部门原因暂时无法取得，则可以往前顺延一个月。</w:t>
            </w:r>
          </w:p>
          <w:p>
            <w:pPr>
              <w:pStyle w:val="10"/>
              <w:adjustRightInd w:val="0"/>
              <w:snapToGrid w:val="0"/>
              <w:spacing w:line="360" w:lineRule="auto"/>
              <w:ind w:firstLine="0" w:firstLineChars="0"/>
              <w:jc w:val="left"/>
              <w:rPr>
                <w:rFonts w:ascii="仿宋" w:hAnsi="仿宋" w:eastAsia="仿宋"/>
                <w:sz w:val="21"/>
              </w:rPr>
            </w:pPr>
            <w:r>
              <w:rPr>
                <w:rFonts w:hint="eastAsia" w:ascii="仿宋" w:hAnsi="仿宋" w:eastAsia="仿宋" w:cs="宋体"/>
                <w:color w:val="000000"/>
                <w:sz w:val="21"/>
              </w:rPr>
              <w:t>2.每个团队成员资质不重复计算，需提供证书拥有人相关证书扫描件/照片和社保局出具的近半年</w:t>
            </w:r>
            <w:r>
              <w:rPr>
                <w:rFonts w:ascii="仿宋" w:hAnsi="仿宋" w:eastAsia="仿宋" w:cs="宋体"/>
                <w:color w:val="000000"/>
                <w:sz w:val="21"/>
              </w:rPr>
              <w:t>内</w:t>
            </w:r>
            <w:r>
              <w:rPr>
                <w:rFonts w:hint="eastAsia" w:ascii="仿宋" w:hAnsi="仿宋" w:eastAsia="仿宋" w:cs="宋体"/>
                <w:color w:val="000000"/>
                <w:sz w:val="21"/>
              </w:rPr>
              <w:t>任意一个月的社保缴交材料。未提供以上证明的，本项不得分。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1050" w:type="pct"/>
            <w:vMerge w:val="continue"/>
            <w:shd w:val="clear" w:color="auto" w:fill="auto"/>
            <w:vAlign w:val="center"/>
          </w:tcPr>
          <w:p>
            <w:pPr>
              <w:adjustRightInd w:val="0"/>
              <w:snapToGrid w:val="0"/>
              <w:spacing w:line="360" w:lineRule="auto"/>
              <w:jc w:val="center"/>
              <w:rPr>
                <w:rFonts w:ascii="仿宋" w:hAnsi="仿宋" w:eastAsia="仿宋"/>
                <w:szCs w:val="21"/>
              </w:rPr>
            </w:pPr>
          </w:p>
        </w:tc>
        <w:tc>
          <w:tcPr>
            <w:tcW w:w="676" w:type="pct"/>
            <w:tcBorders>
              <w:bottom w:val="single" w:color="auto" w:sz="4" w:space="0"/>
            </w:tcBorders>
            <w:shd w:val="clear" w:color="auto" w:fill="auto"/>
            <w:vAlign w:val="center"/>
          </w:tcPr>
          <w:p>
            <w:pPr>
              <w:pStyle w:val="10"/>
              <w:adjustRightInd w:val="0"/>
              <w:snapToGrid w:val="0"/>
              <w:spacing w:line="360" w:lineRule="auto"/>
              <w:ind w:firstLine="0" w:firstLineChars="0"/>
              <w:jc w:val="center"/>
              <w:rPr>
                <w:rFonts w:ascii="仿宋" w:hAnsi="仿宋" w:eastAsia="仿宋"/>
                <w:sz w:val="21"/>
              </w:rPr>
            </w:pPr>
            <w:r>
              <w:rPr>
                <w:rFonts w:hint="eastAsia" w:ascii="仿宋" w:hAnsi="仿宋" w:eastAsia="仿宋"/>
                <w:sz w:val="21"/>
              </w:rPr>
              <w:t>对</w:t>
            </w:r>
            <w:r>
              <w:rPr>
                <w:rFonts w:ascii="仿宋" w:hAnsi="仿宋" w:eastAsia="仿宋"/>
                <w:sz w:val="21"/>
              </w:rPr>
              <w:t>项目</w:t>
            </w:r>
            <w:r>
              <w:rPr>
                <w:rFonts w:hint="eastAsia" w:ascii="仿宋" w:hAnsi="仿宋" w:eastAsia="仿宋"/>
                <w:sz w:val="21"/>
              </w:rPr>
              <w:t>的</w:t>
            </w:r>
            <w:r>
              <w:rPr>
                <w:rFonts w:ascii="仿宋" w:hAnsi="仿宋" w:eastAsia="仿宋"/>
                <w:sz w:val="21"/>
              </w:rPr>
              <w:t>理解</w:t>
            </w:r>
          </w:p>
        </w:tc>
        <w:tc>
          <w:tcPr>
            <w:tcW w:w="451" w:type="pct"/>
            <w:tcBorders>
              <w:bottom w:val="single" w:color="auto" w:sz="4" w:space="0"/>
            </w:tcBorders>
            <w:shd w:val="clear" w:color="auto" w:fill="auto"/>
            <w:vAlign w:val="center"/>
          </w:tcPr>
          <w:p>
            <w:pPr>
              <w:pStyle w:val="10"/>
              <w:adjustRightInd w:val="0"/>
              <w:snapToGrid w:val="0"/>
              <w:spacing w:line="360" w:lineRule="auto"/>
              <w:ind w:firstLine="0" w:firstLineChars="0"/>
              <w:jc w:val="center"/>
              <w:rPr>
                <w:rFonts w:ascii="仿宋" w:hAnsi="仿宋" w:eastAsia="仿宋"/>
                <w:sz w:val="21"/>
              </w:rPr>
            </w:pPr>
            <w:r>
              <w:rPr>
                <w:rFonts w:hint="eastAsia" w:ascii="仿宋" w:hAnsi="仿宋" w:eastAsia="仿宋"/>
                <w:sz w:val="21"/>
              </w:rPr>
              <w:t>8分</w:t>
            </w:r>
          </w:p>
        </w:tc>
        <w:tc>
          <w:tcPr>
            <w:tcW w:w="2823" w:type="pct"/>
            <w:tcBorders>
              <w:bottom w:val="single" w:color="auto" w:sz="4" w:space="0"/>
            </w:tcBorders>
            <w:shd w:val="clear" w:color="auto" w:fill="auto"/>
            <w:vAlign w:val="center"/>
          </w:tcPr>
          <w:p>
            <w:pPr>
              <w:pStyle w:val="10"/>
              <w:adjustRightInd w:val="0"/>
              <w:snapToGrid w:val="0"/>
              <w:spacing w:line="360" w:lineRule="auto"/>
              <w:ind w:firstLine="0" w:firstLineChars="0"/>
              <w:jc w:val="left"/>
              <w:rPr>
                <w:rFonts w:ascii="仿宋" w:hAnsi="仿宋" w:eastAsia="仿宋"/>
                <w:sz w:val="21"/>
              </w:rPr>
            </w:pPr>
            <w:r>
              <w:rPr>
                <w:rFonts w:hint="eastAsia" w:ascii="仿宋" w:hAnsi="仿宋" w:eastAsia="仿宋"/>
                <w:sz w:val="21"/>
              </w:rPr>
              <w:t>根据投标人</w:t>
            </w:r>
            <w:r>
              <w:rPr>
                <w:rFonts w:ascii="仿宋" w:hAnsi="仿宋" w:eastAsia="仿宋"/>
                <w:sz w:val="21"/>
              </w:rPr>
              <w:t>对</w:t>
            </w:r>
            <w:r>
              <w:rPr>
                <w:rFonts w:hint="eastAsia" w:ascii="仿宋" w:hAnsi="仿宋" w:eastAsia="仿宋"/>
                <w:sz w:val="21"/>
              </w:rPr>
              <w:t>建设目标、建设原则</w:t>
            </w:r>
            <w:r>
              <w:rPr>
                <w:rFonts w:ascii="仿宋" w:hAnsi="仿宋" w:eastAsia="仿宋"/>
                <w:sz w:val="21"/>
              </w:rPr>
              <w:t>提供</w:t>
            </w:r>
            <w:r>
              <w:rPr>
                <w:rFonts w:hint="eastAsia" w:ascii="仿宋" w:hAnsi="仿宋" w:eastAsia="仿宋"/>
                <w:sz w:val="21"/>
              </w:rPr>
              <w:t>项目理解</w:t>
            </w:r>
            <w:r>
              <w:rPr>
                <w:rFonts w:ascii="仿宋" w:hAnsi="仿宋" w:eastAsia="仿宋"/>
                <w:sz w:val="21"/>
              </w:rPr>
              <w:t>方案</w:t>
            </w:r>
            <w:r>
              <w:rPr>
                <w:rFonts w:hint="eastAsia" w:ascii="仿宋" w:hAnsi="仿宋" w:eastAsia="仿宋"/>
                <w:sz w:val="21"/>
              </w:rPr>
              <w:t>。投标人应充分理解并满足建设原则，并出具相关承诺函。</w:t>
            </w:r>
          </w:p>
          <w:p>
            <w:pPr>
              <w:pStyle w:val="10"/>
              <w:adjustRightInd w:val="0"/>
              <w:snapToGrid w:val="0"/>
              <w:spacing w:line="360" w:lineRule="auto"/>
              <w:ind w:firstLine="0" w:firstLineChars="0"/>
              <w:jc w:val="left"/>
              <w:rPr>
                <w:rFonts w:ascii="仿宋" w:hAnsi="仿宋" w:eastAsia="仿宋"/>
                <w:sz w:val="21"/>
              </w:rPr>
            </w:pPr>
            <w:r>
              <w:rPr>
                <w:rFonts w:hint="eastAsia" w:ascii="仿宋" w:hAnsi="仿宋" w:eastAsia="仿宋"/>
                <w:sz w:val="21"/>
              </w:rPr>
              <w:t>根据投标人提供的项目理解方案</w:t>
            </w:r>
            <w:r>
              <w:rPr>
                <w:rFonts w:ascii="仿宋" w:hAnsi="仿宋" w:eastAsia="仿宋"/>
                <w:sz w:val="21"/>
              </w:rPr>
              <w:t>进行评分：</w:t>
            </w:r>
          </w:p>
          <w:p>
            <w:pPr>
              <w:pStyle w:val="10"/>
              <w:adjustRightInd w:val="0"/>
              <w:snapToGrid w:val="0"/>
              <w:spacing w:line="360" w:lineRule="auto"/>
              <w:ind w:firstLine="0" w:firstLineChars="0"/>
              <w:jc w:val="left"/>
              <w:rPr>
                <w:rFonts w:ascii="仿宋" w:hAnsi="仿宋" w:eastAsia="仿宋"/>
                <w:sz w:val="21"/>
              </w:rPr>
            </w:pPr>
            <w:r>
              <w:rPr>
                <w:rFonts w:hint="eastAsia" w:ascii="仿宋" w:hAnsi="仿宋" w:eastAsia="仿宋"/>
                <w:sz w:val="21"/>
              </w:rPr>
              <w:t>优：得7</w:t>
            </w:r>
            <w:r>
              <w:rPr>
                <w:rFonts w:ascii="仿宋" w:hAnsi="仿宋" w:eastAsia="仿宋"/>
                <w:sz w:val="21"/>
              </w:rPr>
              <w:t>-8</w:t>
            </w:r>
            <w:r>
              <w:rPr>
                <w:rFonts w:hint="eastAsia" w:ascii="仿宋" w:hAnsi="仿宋" w:eastAsia="仿宋"/>
                <w:sz w:val="21"/>
              </w:rPr>
              <w:t>分，一般得5-</w:t>
            </w:r>
            <w:r>
              <w:rPr>
                <w:rFonts w:ascii="仿宋" w:hAnsi="仿宋" w:eastAsia="仿宋"/>
                <w:sz w:val="21"/>
              </w:rPr>
              <w:t>6</w:t>
            </w:r>
            <w:r>
              <w:rPr>
                <w:rFonts w:hint="eastAsia" w:ascii="仿宋" w:hAnsi="仿宋" w:eastAsia="仿宋"/>
                <w:sz w:val="21"/>
              </w:rPr>
              <w:t>分，未提供承诺函不得分，差或未提供方案不得分；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050" w:type="pct"/>
            <w:vMerge w:val="continue"/>
            <w:shd w:val="clear" w:color="auto" w:fill="auto"/>
            <w:vAlign w:val="center"/>
          </w:tcPr>
          <w:p>
            <w:pPr>
              <w:adjustRightInd w:val="0"/>
              <w:snapToGrid w:val="0"/>
              <w:spacing w:line="360" w:lineRule="auto"/>
              <w:jc w:val="center"/>
              <w:rPr>
                <w:rFonts w:ascii="仿宋" w:hAnsi="仿宋" w:eastAsia="仿宋"/>
                <w:szCs w:val="21"/>
              </w:rPr>
            </w:pPr>
          </w:p>
        </w:tc>
        <w:tc>
          <w:tcPr>
            <w:tcW w:w="676" w:type="pct"/>
            <w:tcBorders>
              <w:bottom w:val="single" w:color="auto" w:sz="4" w:space="0"/>
            </w:tcBorders>
            <w:shd w:val="clear" w:color="auto" w:fill="auto"/>
            <w:vAlign w:val="center"/>
          </w:tcPr>
          <w:p>
            <w:pPr>
              <w:pStyle w:val="10"/>
              <w:adjustRightInd w:val="0"/>
              <w:snapToGrid w:val="0"/>
              <w:spacing w:line="360" w:lineRule="auto"/>
              <w:ind w:firstLine="0" w:firstLineChars="0"/>
              <w:jc w:val="left"/>
              <w:rPr>
                <w:rFonts w:ascii="仿宋" w:hAnsi="仿宋" w:eastAsia="仿宋"/>
                <w:sz w:val="21"/>
                <w:highlight w:val="yellow"/>
              </w:rPr>
            </w:pPr>
            <w:r>
              <w:rPr>
                <w:rFonts w:hint="eastAsia" w:ascii="仿宋" w:hAnsi="仿宋" w:eastAsia="仿宋"/>
                <w:sz w:val="21"/>
              </w:rPr>
              <w:t>技术方案</w:t>
            </w:r>
          </w:p>
        </w:tc>
        <w:tc>
          <w:tcPr>
            <w:tcW w:w="451" w:type="pct"/>
            <w:tcBorders>
              <w:bottom w:val="single" w:color="auto" w:sz="4" w:space="0"/>
            </w:tcBorders>
            <w:shd w:val="clear" w:color="auto" w:fill="auto"/>
            <w:vAlign w:val="center"/>
          </w:tcPr>
          <w:p>
            <w:pPr>
              <w:pStyle w:val="10"/>
              <w:adjustRightInd w:val="0"/>
              <w:snapToGrid w:val="0"/>
              <w:spacing w:line="360" w:lineRule="auto"/>
              <w:ind w:firstLine="0" w:firstLineChars="0"/>
              <w:jc w:val="center"/>
              <w:rPr>
                <w:rFonts w:ascii="仿宋" w:hAnsi="仿宋" w:eastAsia="仿宋"/>
                <w:sz w:val="21"/>
                <w:highlight w:val="yellow"/>
              </w:rPr>
            </w:pPr>
            <w:r>
              <w:rPr>
                <w:rFonts w:hint="eastAsia" w:ascii="仿宋" w:hAnsi="仿宋" w:eastAsia="仿宋"/>
                <w:sz w:val="21"/>
              </w:rPr>
              <w:t>8分</w:t>
            </w:r>
          </w:p>
        </w:tc>
        <w:tc>
          <w:tcPr>
            <w:tcW w:w="2823" w:type="pct"/>
            <w:tcBorders>
              <w:bottom w:val="single" w:color="auto" w:sz="4" w:space="0"/>
            </w:tcBorders>
            <w:shd w:val="clear" w:color="auto" w:fill="auto"/>
            <w:vAlign w:val="center"/>
          </w:tcPr>
          <w:p>
            <w:pPr>
              <w:pStyle w:val="10"/>
              <w:adjustRightInd w:val="0"/>
              <w:snapToGrid w:val="0"/>
              <w:spacing w:line="360" w:lineRule="auto"/>
              <w:ind w:firstLine="0" w:firstLineChars="0"/>
              <w:jc w:val="left"/>
              <w:rPr>
                <w:rFonts w:ascii="仿宋" w:hAnsi="仿宋" w:eastAsia="仿宋"/>
                <w:sz w:val="21"/>
              </w:rPr>
            </w:pPr>
            <w:r>
              <w:rPr>
                <w:rFonts w:hint="eastAsia" w:ascii="仿宋" w:hAnsi="仿宋" w:eastAsia="仿宋"/>
                <w:sz w:val="21"/>
              </w:rPr>
              <w:t>（1）投标人根据建设内容、建设方案等技术参数提供项目技术方案，包括总体设计方案、技术架构方案等。</w:t>
            </w:r>
          </w:p>
          <w:p>
            <w:pPr>
              <w:pStyle w:val="10"/>
              <w:adjustRightInd w:val="0"/>
              <w:snapToGrid w:val="0"/>
              <w:spacing w:line="360" w:lineRule="auto"/>
              <w:ind w:firstLine="0" w:firstLineChars="0"/>
              <w:jc w:val="left"/>
              <w:rPr>
                <w:rFonts w:ascii="仿宋" w:hAnsi="仿宋" w:eastAsia="仿宋"/>
                <w:sz w:val="21"/>
              </w:rPr>
            </w:pPr>
            <w:r>
              <w:rPr>
                <w:rFonts w:hint="eastAsia" w:ascii="仿宋" w:hAnsi="仿宋" w:eastAsia="仿宋"/>
                <w:sz w:val="21"/>
              </w:rPr>
              <w:t>根据投标人提供的项目技术方案，进行评分：</w:t>
            </w:r>
          </w:p>
          <w:p>
            <w:pPr>
              <w:pStyle w:val="10"/>
              <w:adjustRightInd w:val="0"/>
              <w:snapToGrid w:val="0"/>
              <w:spacing w:line="360" w:lineRule="auto"/>
              <w:ind w:firstLine="0" w:firstLineChars="0"/>
              <w:jc w:val="left"/>
              <w:rPr>
                <w:rFonts w:ascii="仿宋" w:hAnsi="仿宋" w:eastAsia="仿宋"/>
                <w:sz w:val="21"/>
                <w:highlight w:val="yellow"/>
              </w:rPr>
            </w:pPr>
            <w:r>
              <w:rPr>
                <w:rFonts w:hint="eastAsia" w:ascii="仿宋" w:hAnsi="仿宋" w:eastAsia="仿宋"/>
                <w:sz w:val="21"/>
              </w:rPr>
              <w:t>优：得7</w:t>
            </w:r>
            <w:r>
              <w:rPr>
                <w:rFonts w:ascii="仿宋" w:hAnsi="仿宋" w:eastAsia="仿宋"/>
                <w:sz w:val="21"/>
              </w:rPr>
              <w:t>-8</w:t>
            </w:r>
            <w:r>
              <w:rPr>
                <w:rFonts w:hint="eastAsia" w:ascii="仿宋" w:hAnsi="仿宋" w:eastAsia="仿宋"/>
                <w:sz w:val="21"/>
              </w:rPr>
              <w:t>分，一般得5-</w:t>
            </w:r>
            <w:r>
              <w:rPr>
                <w:rFonts w:ascii="仿宋" w:hAnsi="仿宋" w:eastAsia="仿宋"/>
                <w:sz w:val="21"/>
              </w:rPr>
              <w:t>6</w:t>
            </w:r>
            <w:r>
              <w:rPr>
                <w:rFonts w:hint="eastAsia" w:ascii="仿宋" w:hAnsi="仿宋" w:eastAsia="仿宋"/>
                <w:sz w:val="21"/>
              </w:rPr>
              <w:t>分，差或未提供方案不得分；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50" w:type="pct"/>
            <w:vMerge w:val="continue"/>
            <w:shd w:val="clear" w:color="auto" w:fill="auto"/>
            <w:vAlign w:val="center"/>
          </w:tcPr>
          <w:p>
            <w:pPr>
              <w:adjustRightInd w:val="0"/>
              <w:snapToGrid w:val="0"/>
              <w:spacing w:line="360" w:lineRule="auto"/>
              <w:jc w:val="center"/>
              <w:rPr>
                <w:rFonts w:ascii="仿宋" w:hAnsi="仿宋" w:eastAsia="仿宋"/>
                <w:szCs w:val="21"/>
              </w:rPr>
            </w:pPr>
          </w:p>
        </w:tc>
        <w:tc>
          <w:tcPr>
            <w:tcW w:w="676" w:type="pct"/>
            <w:tcBorders>
              <w:bottom w:val="single" w:color="auto" w:sz="4" w:space="0"/>
            </w:tcBorders>
            <w:shd w:val="clear" w:color="auto" w:fill="auto"/>
            <w:vAlign w:val="center"/>
          </w:tcPr>
          <w:p>
            <w:pPr>
              <w:pStyle w:val="10"/>
              <w:adjustRightInd w:val="0"/>
              <w:snapToGrid w:val="0"/>
              <w:spacing w:line="360" w:lineRule="auto"/>
              <w:ind w:firstLine="0" w:firstLineChars="0"/>
              <w:jc w:val="center"/>
              <w:rPr>
                <w:rFonts w:ascii="仿宋" w:hAnsi="仿宋" w:eastAsia="仿宋"/>
                <w:sz w:val="21"/>
                <w:highlight w:val="yellow"/>
              </w:rPr>
            </w:pPr>
            <w:r>
              <w:rPr>
                <w:rFonts w:ascii="仿宋" w:hAnsi="仿宋" w:eastAsia="仿宋"/>
                <w:color w:val="000000"/>
                <w:sz w:val="21"/>
              </w:rPr>
              <w:t>实施方案</w:t>
            </w:r>
          </w:p>
        </w:tc>
        <w:tc>
          <w:tcPr>
            <w:tcW w:w="451" w:type="pct"/>
            <w:tcBorders>
              <w:bottom w:val="single" w:color="auto" w:sz="4" w:space="0"/>
            </w:tcBorders>
            <w:shd w:val="clear" w:color="auto" w:fill="auto"/>
            <w:vAlign w:val="center"/>
          </w:tcPr>
          <w:p>
            <w:pPr>
              <w:pStyle w:val="10"/>
              <w:adjustRightInd w:val="0"/>
              <w:snapToGrid w:val="0"/>
              <w:spacing w:line="360" w:lineRule="auto"/>
              <w:ind w:firstLine="0" w:firstLineChars="0"/>
              <w:jc w:val="center"/>
              <w:rPr>
                <w:rFonts w:ascii="仿宋" w:hAnsi="仿宋" w:eastAsia="仿宋"/>
                <w:sz w:val="21"/>
                <w:highlight w:val="yellow"/>
              </w:rPr>
            </w:pPr>
            <w:r>
              <w:rPr>
                <w:rFonts w:hint="eastAsia" w:ascii="仿宋" w:hAnsi="仿宋" w:eastAsia="仿宋"/>
                <w:sz w:val="21"/>
              </w:rPr>
              <w:t>8分</w:t>
            </w:r>
          </w:p>
        </w:tc>
        <w:tc>
          <w:tcPr>
            <w:tcW w:w="2823" w:type="pct"/>
            <w:tcBorders>
              <w:bottom w:val="single" w:color="auto" w:sz="4" w:space="0"/>
            </w:tcBorders>
            <w:shd w:val="clear" w:color="auto" w:fill="auto"/>
            <w:vAlign w:val="center"/>
          </w:tcPr>
          <w:p>
            <w:pPr>
              <w:pStyle w:val="10"/>
              <w:adjustRightInd w:val="0"/>
              <w:snapToGrid w:val="0"/>
              <w:spacing w:line="360" w:lineRule="auto"/>
              <w:ind w:firstLine="0" w:firstLineChars="0"/>
              <w:jc w:val="left"/>
              <w:rPr>
                <w:rFonts w:ascii="仿宋" w:hAnsi="仿宋" w:eastAsia="仿宋"/>
                <w:sz w:val="21"/>
              </w:rPr>
            </w:pPr>
            <w:r>
              <w:rPr>
                <w:rFonts w:hint="eastAsia" w:ascii="仿宋" w:hAnsi="仿宋" w:eastAsia="仿宋"/>
                <w:sz w:val="21"/>
              </w:rPr>
              <w:t>投标人有完整、详细、合理的项目</w:t>
            </w:r>
            <w:r>
              <w:rPr>
                <w:rFonts w:ascii="仿宋" w:hAnsi="仿宋" w:eastAsia="仿宋"/>
                <w:sz w:val="21"/>
              </w:rPr>
              <w:t>实施</w:t>
            </w:r>
            <w:r>
              <w:rPr>
                <w:rFonts w:hint="eastAsia" w:ascii="仿宋" w:hAnsi="仿宋" w:eastAsia="仿宋"/>
                <w:sz w:val="21"/>
              </w:rPr>
              <w:t>方案</w:t>
            </w:r>
            <w:r>
              <w:rPr>
                <w:rFonts w:ascii="仿宋" w:hAnsi="仿宋" w:eastAsia="仿宋"/>
                <w:sz w:val="21"/>
              </w:rPr>
              <w:t>、</w:t>
            </w:r>
            <w:r>
              <w:rPr>
                <w:rFonts w:hint="eastAsia" w:ascii="仿宋" w:hAnsi="仿宋" w:eastAsia="仿宋"/>
                <w:sz w:val="21"/>
              </w:rPr>
              <w:t>实施计划，根据</w:t>
            </w:r>
            <w:r>
              <w:rPr>
                <w:rFonts w:ascii="仿宋" w:hAnsi="仿宋" w:eastAsia="仿宋"/>
                <w:sz w:val="21"/>
              </w:rPr>
              <w:t>投标人提供的</w:t>
            </w:r>
            <w:r>
              <w:rPr>
                <w:rFonts w:hint="eastAsia" w:ascii="仿宋" w:hAnsi="仿宋" w:eastAsia="仿宋"/>
                <w:sz w:val="21"/>
              </w:rPr>
              <w:t>项目实施</w:t>
            </w:r>
            <w:r>
              <w:rPr>
                <w:rFonts w:ascii="仿宋" w:hAnsi="仿宋" w:eastAsia="仿宋"/>
                <w:sz w:val="21"/>
              </w:rPr>
              <w:t>方案，进行评分：</w:t>
            </w:r>
          </w:p>
          <w:p>
            <w:pPr>
              <w:pStyle w:val="10"/>
              <w:adjustRightInd w:val="0"/>
              <w:snapToGrid w:val="0"/>
              <w:spacing w:line="360" w:lineRule="auto"/>
              <w:ind w:firstLine="0" w:firstLineChars="0"/>
              <w:jc w:val="left"/>
              <w:rPr>
                <w:rFonts w:ascii="仿宋" w:hAnsi="仿宋" w:eastAsia="仿宋"/>
                <w:sz w:val="21"/>
                <w:highlight w:val="yellow"/>
              </w:rPr>
            </w:pPr>
            <w:r>
              <w:rPr>
                <w:rFonts w:hint="eastAsia" w:ascii="仿宋" w:hAnsi="仿宋" w:eastAsia="仿宋"/>
                <w:sz w:val="21"/>
              </w:rPr>
              <w:t>优：得7</w:t>
            </w:r>
            <w:r>
              <w:rPr>
                <w:rFonts w:ascii="仿宋" w:hAnsi="仿宋" w:eastAsia="仿宋"/>
                <w:sz w:val="21"/>
              </w:rPr>
              <w:t>-8</w:t>
            </w:r>
            <w:r>
              <w:rPr>
                <w:rFonts w:hint="eastAsia" w:ascii="仿宋" w:hAnsi="仿宋" w:eastAsia="仿宋"/>
                <w:sz w:val="21"/>
              </w:rPr>
              <w:t>分，一般得5-</w:t>
            </w:r>
            <w:r>
              <w:rPr>
                <w:rFonts w:ascii="仿宋" w:hAnsi="仿宋" w:eastAsia="仿宋"/>
                <w:sz w:val="21"/>
              </w:rPr>
              <w:t>6</w:t>
            </w:r>
            <w:r>
              <w:rPr>
                <w:rFonts w:hint="eastAsia" w:ascii="仿宋" w:hAnsi="仿宋" w:eastAsia="仿宋"/>
                <w:sz w:val="21"/>
              </w:rPr>
              <w:t>分，差或未提供方案不得分；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6" w:hRule="atLeast"/>
        </w:trPr>
        <w:tc>
          <w:tcPr>
            <w:tcW w:w="1050" w:type="pct"/>
            <w:vMerge w:val="continue"/>
            <w:shd w:val="clear" w:color="auto" w:fill="auto"/>
            <w:vAlign w:val="center"/>
          </w:tcPr>
          <w:p>
            <w:pPr>
              <w:adjustRightInd w:val="0"/>
              <w:snapToGrid w:val="0"/>
              <w:spacing w:line="360" w:lineRule="auto"/>
              <w:jc w:val="center"/>
              <w:rPr>
                <w:rFonts w:ascii="仿宋" w:hAnsi="仿宋" w:eastAsia="仿宋"/>
                <w:szCs w:val="21"/>
              </w:rPr>
            </w:pPr>
          </w:p>
        </w:tc>
        <w:tc>
          <w:tcPr>
            <w:tcW w:w="676" w:type="pct"/>
            <w:shd w:val="clear" w:color="auto" w:fill="auto"/>
            <w:vAlign w:val="center"/>
          </w:tcPr>
          <w:p>
            <w:pPr>
              <w:pStyle w:val="10"/>
              <w:adjustRightInd w:val="0"/>
              <w:snapToGrid w:val="0"/>
              <w:spacing w:line="360" w:lineRule="auto"/>
              <w:ind w:firstLine="0" w:firstLineChars="0"/>
              <w:rPr>
                <w:rFonts w:ascii="仿宋" w:hAnsi="仿宋" w:eastAsia="仿宋"/>
                <w:sz w:val="21"/>
                <w:highlight w:val="yellow"/>
              </w:rPr>
            </w:pPr>
            <w:r>
              <w:rPr>
                <w:rFonts w:hint="eastAsia" w:ascii="仿宋" w:hAnsi="仿宋" w:eastAsia="仿宋"/>
                <w:color w:val="000000"/>
                <w:sz w:val="21"/>
              </w:rPr>
              <w:t>售后服务</w:t>
            </w:r>
          </w:p>
        </w:tc>
        <w:tc>
          <w:tcPr>
            <w:tcW w:w="451" w:type="pct"/>
            <w:shd w:val="clear" w:color="auto" w:fill="auto"/>
            <w:vAlign w:val="center"/>
          </w:tcPr>
          <w:p>
            <w:pPr>
              <w:pStyle w:val="10"/>
              <w:adjustRightInd w:val="0"/>
              <w:snapToGrid w:val="0"/>
              <w:spacing w:line="360" w:lineRule="auto"/>
              <w:ind w:firstLine="0" w:firstLineChars="0"/>
              <w:jc w:val="center"/>
              <w:rPr>
                <w:rFonts w:ascii="仿宋" w:hAnsi="仿宋" w:eastAsia="仿宋"/>
                <w:sz w:val="21"/>
                <w:highlight w:val="yellow"/>
              </w:rPr>
            </w:pPr>
            <w:r>
              <w:rPr>
                <w:rFonts w:hint="eastAsia" w:ascii="仿宋" w:hAnsi="仿宋" w:eastAsia="仿宋"/>
                <w:sz w:val="21"/>
              </w:rPr>
              <w:t>8分</w:t>
            </w:r>
          </w:p>
        </w:tc>
        <w:tc>
          <w:tcPr>
            <w:tcW w:w="2823" w:type="pct"/>
            <w:shd w:val="clear" w:color="auto" w:fill="auto"/>
            <w:vAlign w:val="center"/>
          </w:tcPr>
          <w:p>
            <w:pPr>
              <w:pStyle w:val="10"/>
              <w:adjustRightInd w:val="0"/>
              <w:snapToGrid w:val="0"/>
              <w:spacing w:line="360" w:lineRule="auto"/>
              <w:ind w:firstLine="0" w:firstLineChars="0"/>
              <w:jc w:val="left"/>
              <w:rPr>
                <w:rFonts w:ascii="仿宋" w:hAnsi="仿宋" w:eastAsia="仿宋"/>
                <w:sz w:val="21"/>
              </w:rPr>
            </w:pPr>
            <w:r>
              <w:rPr>
                <w:rFonts w:hint="eastAsia" w:ascii="仿宋" w:hAnsi="仿宋" w:eastAsia="仿宋"/>
                <w:sz w:val="21"/>
              </w:rPr>
              <w:t>（1）投标人</w:t>
            </w:r>
            <w:r>
              <w:rPr>
                <w:rFonts w:ascii="仿宋" w:hAnsi="仿宋" w:eastAsia="仿宋"/>
                <w:sz w:val="21"/>
              </w:rPr>
              <w:t>必须</w:t>
            </w:r>
            <w:r>
              <w:rPr>
                <w:rFonts w:hint="eastAsia" w:ascii="仿宋" w:hAnsi="仿宋" w:eastAsia="仿宋"/>
                <w:sz w:val="21"/>
              </w:rPr>
              <w:t>严格</w:t>
            </w:r>
            <w:r>
              <w:rPr>
                <w:rFonts w:ascii="仿宋" w:hAnsi="仿宋" w:eastAsia="仿宋"/>
                <w:sz w:val="21"/>
              </w:rPr>
              <w:t>遵循</w:t>
            </w:r>
            <w:r>
              <w:rPr>
                <w:rFonts w:hint="eastAsia" w:ascii="仿宋" w:hAnsi="仿宋" w:eastAsia="仿宋"/>
                <w:sz w:val="21"/>
              </w:rPr>
              <w:t>项目质量管理体系要求保障</w:t>
            </w:r>
            <w:r>
              <w:rPr>
                <w:rFonts w:ascii="仿宋" w:hAnsi="仿宋" w:eastAsia="仿宋"/>
                <w:sz w:val="21"/>
              </w:rPr>
              <w:t>本项目</w:t>
            </w:r>
            <w:r>
              <w:rPr>
                <w:rFonts w:hint="eastAsia" w:ascii="仿宋" w:hAnsi="仿宋" w:eastAsia="仿宋"/>
                <w:sz w:val="21"/>
              </w:rPr>
              <w:t>售后服务</w:t>
            </w:r>
            <w:r>
              <w:rPr>
                <w:rFonts w:ascii="仿宋" w:hAnsi="仿宋" w:eastAsia="仿宋"/>
                <w:sz w:val="21"/>
              </w:rPr>
              <w:t>质量，必须</w:t>
            </w:r>
            <w:r>
              <w:rPr>
                <w:rFonts w:hint="eastAsia" w:ascii="仿宋" w:hAnsi="仿宋" w:eastAsia="仿宋"/>
                <w:sz w:val="21"/>
              </w:rPr>
              <w:t>同时具有质量管理体系认证证书、IT服务管理体系认证证书、信息安全管理体系认证证书，全部</w:t>
            </w:r>
            <w:r>
              <w:rPr>
                <w:rFonts w:ascii="仿宋" w:hAnsi="仿宋" w:eastAsia="仿宋"/>
                <w:sz w:val="21"/>
              </w:rPr>
              <w:t>提供得</w:t>
            </w:r>
            <w:r>
              <w:rPr>
                <w:rFonts w:hint="eastAsia" w:ascii="仿宋" w:hAnsi="仿宋" w:eastAsia="仿宋"/>
                <w:sz w:val="21"/>
              </w:rPr>
              <w:t>2分</w:t>
            </w:r>
            <w:r>
              <w:rPr>
                <w:rFonts w:ascii="仿宋" w:hAnsi="仿宋" w:eastAsia="仿宋"/>
                <w:sz w:val="21"/>
              </w:rPr>
              <w:t>，部分</w:t>
            </w:r>
            <w:r>
              <w:rPr>
                <w:rFonts w:hint="eastAsia" w:ascii="仿宋" w:hAnsi="仿宋" w:eastAsia="仿宋"/>
                <w:sz w:val="21"/>
              </w:rPr>
              <w:t>提供</w:t>
            </w:r>
            <w:r>
              <w:rPr>
                <w:rFonts w:ascii="仿宋" w:hAnsi="仿宋" w:eastAsia="仿宋"/>
                <w:sz w:val="21"/>
              </w:rPr>
              <w:t>或未</w:t>
            </w:r>
            <w:r>
              <w:rPr>
                <w:rFonts w:hint="eastAsia" w:ascii="仿宋" w:hAnsi="仿宋" w:eastAsia="仿宋"/>
                <w:sz w:val="21"/>
              </w:rPr>
              <w:t>提供</w:t>
            </w:r>
            <w:r>
              <w:rPr>
                <w:rFonts w:ascii="仿宋" w:hAnsi="仿宋" w:eastAsia="仿宋"/>
                <w:sz w:val="21"/>
              </w:rPr>
              <w:t>不得分。</w:t>
            </w:r>
          </w:p>
          <w:p>
            <w:pPr>
              <w:pStyle w:val="10"/>
              <w:adjustRightInd w:val="0"/>
              <w:snapToGrid w:val="0"/>
              <w:spacing w:line="360" w:lineRule="auto"/>
              <w:ind w:firstLine="0" w:firstLineChars="0"/>
              <w:jc w:val="left"/>
              <w:rPr>
                <w:rFonts w:ascii="仿宋" w:hAnsi="仿宋" w:eastAsia="仿宋"/>
                <w:sz w:val="21"/>
              </w:rPr>
            </w:pPr>
            <w:r>
              <w:rPr>
                <w:rFonts w:hint="eastAsia" w:ascii="仿宋" w:hAnsi="仿宋" w:eastAsia="仿宋"/>
                <w:sz w:val="21"/>
              </w:rPr>
              <w:t>（2）投标人有完整、详细、合理的售后服务体系、</w:t>
            </w:r>
            <w:r>
              <w:rPr>
                <w:rFonts w:ascii="仿宋" w:hAnsi="仿宋" w:eastAsia="仿宋"/>
                <w:sz w:val="21"/>
              </w:rPr>
              <w:t>售后服务流程、</w:t>
            </w:r>
            <w:r>
              <w:rPr>
                <w:rFonts w:hint="eastAsia" w:ascii="仿宋" w:hAnsi="仿宋" w:eastAsia="仿宋"/>
                <w:sz w:val="21"/>
              </w:rPr>
              <w:t>售后服务</w:t>
            </w:r>
            <w:r>
              <w:rPr>
                <w:rFonts w:ascii="仿宋" w:hAnsi="仿宋" w:eastAsia="仿宋"/>
                <w:sz w:val="21"/>
              </w:rPr>
              <w:t>方式、</w:t>
            </w:r>
            <w:r>
              <w:rPr>
                <w:rFonts w:hint="eastAsia" w:ascii="仿宋" w:hAnsi="仿宋" w:eastAsia="仿宋"/>
                <w:sz w:val="21"/>
              </w:rPr>
              <w:t>服务</w:t>
            </w:r>
            <w:r>
              <w:rPr>
                <w:rFonts w:ascii="仿宋" w:hAnsi="仿宋" w:eastAsia="仿宋"/>
                <w:sz w:val="21"/>
              </w:rPr>
              <w:t>监督</w:t>
            </w:r>
            <w:r>
              <w:rPr>
                <w:rFonts w:hint="eastAsia" w:ascii="仿宋" w:hAnsi="仿宋" w:eastAsia="仿宋"/>
                <w:sz w:val="21"/>
              </w:rPr>
              <w:t>管理等内容，根据</w:t>
            </w:r>
            <w:r>
              <w:rPr>
                <w:rFonts w:ascii="仿宋" w:hAnsi="仿宋" w:eastAsia="仿宋"/>
                <w:sz w:val="21"/>
              </w:rPr>
              <w:t>投标人提供的售后服务方案，进行评分：</w:t>
            </w:r>
          </w:p>
          <w:p>
            <w:pPr>
              <w:pStyle w:val="10"/>
              <w:adjustRightInd w:val="0"/>
              <w:snapToGrid w:val="0"/>
              <w:spacing w:line="360" w:lineRule="auto"/>
              <w:ind w:firstLine="0" w:firstLineChars="0"/>
              <w:jc w:val="left"/>
              <w:rPr>
                <w:rFonts w:ascii="仿宋" w:hAnsi="仿宋" w:eastAsia="仿宋"/>
                <w:sz w:val="21"/>
              </w:rPr>
            </w:pPr>
            <w:r>
              <w:rPr>
                <w:rFonts w:hint="eastAsia" w:ascii="仿宋" w:hAnsi="仿宋" w:eastAsia="仿宋"/>
                <w:sz w:val="21"/>
              </w:rPr>
              <w:t>优：得7</w:t>
            </w:r>
            <w:r>
              <w:rPr>
                <w:rFonts w:ascii="仿宋" w:hAnsi="仿宋" w:eastAsia="仿宋"/>
                <w:sz w:val="21"/>
              </w:rPr>
              <w:t>-8</w:t>
            </w:r>
            <w:r>
              <w:rPr>
                <w:rFonts w:hint="eastAsia" w:ascii="仿宋" w:hAnsi="仿宋" w:eastAsia="仿宋"/>
                <w:sz w:val="21"/>
              </w:rPr>
              <w:t>分，一般得5-</w:t>
            </w:r>
            <w:r>
              <w:rPr>
                <w:rFonts w:ascii="仿宋" w:hAnsi="仿宋" w:eastAsia="仿宋"/>
                <w:sz w:val="21"/>
              </w:rPr>
              <w:t>6</w:t>
            </w:r>
            <w:r>
              <w:rPr>
                <w:rFonts w:hint="eastAsia" w:ascii="仿宋" w:hAnsi="仿宋" w:eastAsia="仿宋"/>
                <w:sz w:val="21"/>
              </w:rPr>
              <w:t>分，差或未提供方案不得分；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6" w:hRule="atLeast"/>
        </w:trPr>
        <w:tc>
          <w:tcPr>
            <w:tcW w:w="1050" w:type="pct"/>
            <w:vMerge w:val="continue"/>
            <w:shd w:val="clear" w:color="auto" w:fill="auto"/>
            <w:vAlign w:val="center"/>
          </w:tcPr>
          <w:p>
            <w:pPr>
              <w:adjustRightInd w:val="0"/>
              <w:snapToGrid w:val="0"/>
              <w:spacing w:line="360" w:lineRule="auto"/>
              <w:jc w:val="center"/>
              <w:rPr>
                <w:rFonts w:ascii="仿宋" w:hAnsi="仿宋" w:eastAsia="仿宋"/>
                <w:szCs w:val="21"/>
              </w:rPr>
            </w:pPr>
          </w:p>
        </w:tc>
        <w:tc>
          <w:tcPr>
            <w:tcW w:w="676" w:type="pct"/>
            <w:tcBorders>
              <w:bottom w:val="single" w:color="auto" w:sz="4" w:space="0"/>
            </w:tcBorders>
            <w:shd w:val="clear" w:color="auto" w:fill="auto"/>
            <w:vAlign w:val="center"/>
          </w:tcPr>
          <w:p>
            <w:pPr>
              <w:pStyle w:val="10"/>
              <w:adjustRightInd w:val="0"/>
              <w:snapToGrid w:val="0"/>
              <w:spacing w:line="360" w:lineRule="auto"/>
              <w:ind w:firstLine="0" w:firstLineChars="0"/>
              <w:rPr>
                <w:rFonts w:ascii="仿宋" w:hAnsi="仿宋" w:eastAsia="仿宋"/>
                <w:color w:val="000000"/>
                <w:sz w:val="21"/>
              </w:rPr>
            </w:pPr>
            <w:r>
              <w:rPr>
                <w:rFonts w:hint="eastAsia" w:ascii="仿宋" w:hAnsi="仿宋" w:eastAsia="仿宋"/>
                <w:color w:val="000000"/>
                <w:sz w:val="21"/>
              </w:rPr>
              <w:t>产品安全性</w:t>
            </w:r>
          </w:p>
        </w:tc>
        <w:tc>
          <w:tcPr>
            <w:tcW w:w="451" w:type="pct"/>
            <w:tcBorders>
              <w:bottom w:val="single" w:color="auto" w:sz="4" w:space="0"/>
            </w:tcBorders>
            <w:shd w:val="clear" w:color="auto" w:fill="auto"/>
            <w:vAlign w:val="center"/>
          </w:tcPr>
          <w:p>
            <w:pPr>
              <w:pStyle w:val="10"/>
              <w:adjustRightInd w:val="0"/>
              <w:snapToGrid w:val="0"/>
              <w:spacing w:line="360" w:lineRule="auto"/>
              <w:ind w:firstLine="0" w:firstLineChars="0"/>
              <w:jc w:val="center"/>
              <w:rPr>
                <w:rFonts w:ascii="仿宋" w:hAnsi="仿宋" w:eastAsia="仿宋"/>
                <w:sz w:val="21"/>
              </w:rPr>
            </w:pPr>
            <w:r>
              <w:rPr>
                <w:rFonts w:hint="eastAsia" w:ascii="仿宋" w:hAnsi="仿宋" w:eastAsia="仿宋"/>
                <w:sz w:val="21"/>
              </w:rPr>
              <w:t>8分</w:t>
            </w:r>
          </w:p>
        </w:tc>
        <w:tc>
          <w:tcPr>
            <w:tcW w:w="2823" w:type="pct"/>
            <w:tcBorders>
              <w:bottom w:val="single" w:color="auto" w:sz="4" w:space="0"/>
            </w:tcBorders>
            <w:shd w:val="clear" w:color="auto" w:fill="auto"/>
            <w:vAlign w:val="center"/>
          </w:tcPr>
          <w:p>
            <w:pPr>
              <w:pStyle w:val="10"/>
              <w:adjustRightInd w:val="0"/>
              <w:snapToGrid w:val="0"/>
              <w:spacing w:line="360" w:lineRule="auto"/>
              <w:ind w:firstLine="0" w:firstLineChars="0"/>
              <w:jc w:val="left"/>
              <w:rPr>
                <w:rFonts w:ascii="仿宋" w:hAnsi="仿宋" w:eastAsia="仿宋"/>
                <w:sz w:val="21"/>
              </w:rPr>
            </w:pPr>
            <w:r>
              <w:rPr>
                <w:rFonts w:hint="eastAsia" w:ascii="仿宋" w:hAnsi="仿宋" w:eastAsia="仿宋"/>
                <w:sz w:val="21"/>
              </w:rPr>
              <w:t>（1）投标人具有信息系统安全登记保护三级证书，得2分，未提供不得分。</w:t>
            </w:r>
          </w:p>
          <w:p>
            <w:pPr>
              <w:pStyle w:val="10"/>
              <w:adjustRightInd w:val="0"/>
              <w:snapToGrid w:val="0"/>
              <w:spacing w:line="360" w:lineRule="auto"/>
              <w:ind w:firstLine="0" w:firstLineChars="0"/>
              <w:jc w:val="left"/>
              <w:rPr>
                <w:rFonts w:ascii="仿宋" w:hAnsi="仿宋" w:eastAsia="仿宋"/>
                <w:sz w:val="21"/>
              </w:rPr>
            </w:pPr>
            <w:r>
              <w:rPr>
                <w:rFonts w:hint="eastAsia" w:ascii="仿宋" w:hAnsi="仿宋" w:eastAsia="仿宋"/>
                <w:sz w:val="21"/>
              </w:rPr>
              <w:t>（2）投标人需</w:t>
            </w:r>
            <w:r>
              <w:rPr>
                <w:rFonts w:ascii="仿宋" w:hAnsi="仿宋" w:eastAsia="仿宋"/>
                <w:sz w:val="21"/>
              </w:rPr>
              <w:t>具有</w:t>
            </w:r>
            <w:r>
              <w:rPr>
                <w:rFonts w:hint="eastAsia" w:ascii="仿宋" w:hAnsi="仿宋" w:eastAsia="仿宋"/>
                <w:sz w:val="21"/>
              </w:rPr>
              <w:t>移动互联网医院相关产品证书，包括但不限于</w:t>
            </w:r>
            <w:r>
              <w:rPr>
                <w:rFonts w:ascii="仿宋" w:hAnsi="仿宋" w:eastAsia="仿宋"/>
                <w:sz w:val="21"/>
              </w:rPr>
              <w:t>移动互联网、智能导诊软件、医患管理、医患沟通、专属</w:t>
            </w:r>
            <w:r>
              <w:rPr>
                <w:rFonts w:hint="eastAsia" w:ascii="仿宋" w:hAnsi="仿宋" w:eastAsia="仿宋"/>
                <w:sz w:val="21"/>
              </w:rPr>
              <w:t>医生</w:t>
            </w:r>
            <w:r>
              <w:rPr>
                <w:rFonts w:ascii="仿宋" w:hAnsi="仿宋" w:eastAsia="仿宋"/>
                <w:sz w:val="21"/>
              </w:rPr>
              <w:t>、医院管理信息软件</w:t>
            </w:r>
            <w:r>
              <w:rPr>
                <w:rFonts w:hint="eastAsia" w:ascii="仿宋" w:hAnsi="仿宋" w:eastAsia="仿宋"/>
                <w:sz w:val="21"/>
              </w:rPr>
              <w:t>等软件产品著作权登记证书。</w:t>
            </w:r>
          </w:p>
          <w:p>
            <w:pPr>
              <w:pStyle w:val="10"/>
              <w:adjustRightInd w:val="0"/>
              <w:snapToGrid w:val="0"/>
              <w:spacing w:line="360" w:lineRule="auto"/>
              <w:ind w:firstLine="0" w:firstLineChars="0"/>
              <w:jc w:val="left"/>
              <w:rPr>
                <w:rFonts w:ascii="仿宋" w:hAnsi="仿宋" w:eastAsia="仿宋"/>
                <w:sz w:val="21"/>
              </w:rPr>
            </w:pPr>
            <w:r>
              <w:rPr>
                <w:rFonts w:hint="eastAsia" w:ascii="仿宋" w:hAnsi="仿宋" w:eastAsia="仿宋"/>
                <w:sz w:val="21"/>
              </w:rPr>
              <w:t>注：需提供有效期内的证明材料复印件并加盖公章（未提供相关证明材料的，不得分）。</w:t>
            </w:r>
          </w:p>
          <w:p>
            <w:pPr>
              <w:pStyle w:val="10"/>
              <w:adjustRightInd w:val="0"/>
              <w:snapToGrid w:val="0"/>
              <w:spacing w:line="360" w:lineRule="auto"/>
              <w:ind w:firstLine="0" w:firstLineChars="0"/>
              <w:jc w:val="left"/>
              <w:rPr>
                <w:rFonts w:ascii="仿宋" w:hAnsi="仿宋" w:eastAsia="仿宋"/>
                <w:sz w:val="21"/>
              </w:rPr>
            </w:pPr>
            <w:r>
              <w:rPr>
                <w:rFonts w:hint="eastAsia" w:ascii="仿宋" w:hAnsi="仿宋" w:eastAsia="仿宋"/>
                <w:sz w:val="21"/>
              </w:rPr>
              <w:t>每提供一项得1分，最高得6分，未提供不得分。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54327"/>
    <w:multiLevelType w:val="singleLevel"/>
    <w:tmpl w:val="DFE54327"/>
    <w:lvl w:ilvl="0" w:tentative="0">
      <w:start w:val="1"/>
      <w:numFmt w:val="decimal"/>
      <w:suff w:val="nothing"/>
      <w:lvlText w:val="%1）"/>
      <w:lvlJc w:val="left"/>
    </w:lvl>
  </w:abstractNum>
  <w:abstractNum w:abstractNumId="1">
    <w:nsid w:val="23C20619"/>
    <w:multiLevelType w:val="multilevel"/>
    <w:tmpl w:val="23C20619"/>
    <w:lvl w:ilvl="0" w:tentative="0">
      <w:start w:val="1"/>
      <w:numFmt w:val="decimalEnclosedCircleChinese"/>
      <w:lvlText w:val="%1　"/>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2DB52DFF"/>
    <w:multiLevelType w:val="multilevel"/>
    <w:tmpl w:val="2DB52DFF"/>
    <w:lvl w:ilvl="0" w:tentative="0">
      <w:start w:val="1"/>
      <w:numFmt w:val="decimal"/>
      <w:lvlText w:val="%1"/>
      <w:lvlJc w:val="left"/>
      <w:pPr>
        <w:ind w:left="432" w:hanging="432"/>
      </w:pPr>
      <w:rPr>
        <w:color w:val="FFFFFF"/>
      </w:r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5F68DC"/>
    <w:rsid w:val="000808A7"/>
    <w:rsid w:val="000E1574"/>
    <w:rsid w:val="00245D5D"/>
    <w:rsid w:val="002678C2"/>
    <w:rsid w:val="003A217F"/>
    <w:rsid w:val="00611D0D"/>
    <w:rsid w:val="00670EA0"/>
    <w:rsid w:val="007E6242"/>
    <w:rsid w:val="00813E33"/>
    <w:rsid w:val="00953EB0"/>
    <w:rsid w:val="00983A69"/>
    <w:rsid w:val="009A7864"/>
    <w:rsid w:val="00A81D3F"/>
    <w:rsid w:val="00C237B1"/>
    <w:rsid w:val="00D007D0"/>
    <w:rsid w:val="00D435B2"/>
    <w:rsid w:val="00F67AF9"/>
    <w:rsid w:val="00FD32F4"/>
    <w:rsid w:val="06CD17F7"/>
    <w:rsid w:val="42042555"/>
    <w:rsid w:val="585F6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numPr>
        <w:ilvl w:val="1"/>
        <w:numId w:val="1"/>
      </w:numPr>
      <w:spacing w:before="120" w:after="120" w:line="360" w:lineRule="auto"/>
      <w:jc w:val="left"/>
      <w:outlineLvl w:val="1"/>
    </w:pPr>
    <w:rPr>
      <w:rFonts w:ascii="仿宋" w:hAnsi="仿宋" w:eastAsia="仿宋"/>
      <w:b/>
      <w:kern w:val="0"/>
      <w:sz w:val="30"/>
      <w:szCs w:val="30"/>
    </w:rPr>
  </w:style>
  <w:style w:type="paragraph" w:styleId="4">
    <w:name w:val="heading 3"/>
    <w:basedOn w:val="1"/>
    <w:next w:val="1"/>
    <w:qFormat/>
    <w:uiPriority w:val="0"/>
    <w:pPr>
      <w:keepNext/>
      <w:keepLines/>
      <w:widowControl/>
      <w:numPr>
        <w:ilvl w:val="2"/>
        <w:numId w:val="1"/>
      </w:numPr>
      <w:spacing w:before="120" w:after="120" w:line="360" w:lineRule="auto"/>
      <w:jc w:val="left"/>
      <w:outlineLvl w:val="2"/>
    </w:pPr>
    <w:rPr>
      <w:rFonts w:ascii="华文仿宋" w:hAnsi="华文仿宋" w:eastAsia="华文仿宋"/>
      <w:b/>
      <w:kern w:val="0"/>
      <w:sz w:val="28"/>
      <w:szCs w:val="2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7">
    <w:name w:val="彩色列表 - 强调文字颜色 11"/>
    <w:basedOn w:val="1"/>
    <w:qFormat/>
    <w:uiPriority w:val="34"/>
    <w:pPr>
      <w:widowControl/>
      <w:spacing w:after="160" w:line="259" w:lineRule="auto"/>
      <w:ind w:left="720"/>
      <w:contextualSpacing/>
      <w:jc w:val="left"/>
    </w:pPr>
    <w:rPr>
      <w:rFonts w:eastAsia="等线"/>
      <w:kern w:val="0"/>
      <w:sz w:val="22"/>
      <w:szCs w:val="22"/>
    </w:rPr>
  </w:style>
  <w:style w:type="paragraph" w:customStyle="1" w:styleId="8">
    <w:name w:val="正文缩进1"/>
    <w:basedOn w:val="1"/>
    <w:qFormat/>
    <w:uiPriority w:val="0"/>
    <w:pPr>
      <w:spacing w:line="360" w:lineRule="auto"/>
      <w:ind w:firstLine="454"/>
      <w:jc w:val="left"/>
    </w:pPr>
    <w:rPr>
      <w:sz w:val="24"/>
    </w:rPr>
  </w:style>
  <w:style w:type="character" w:customStyle="1" w:styleId="9">
    <w:name w:val="标题 1 字符"/>
    <w:basedOn w:val="6"/>
    <w:link w:val="2"/>
    <w:uiPriority w:val="0"/>
    <w:rPr>
      <w:rFonts w:ascii="Times New Roman" w:hAnsi="Times New Roman" w:eastAsia="宋体" w:cs="Times New Roman"/>
      <w:b/>
      <w:bCs/>
      <w:kern w:val="44"/>
      <w:sz w:val="44"/>
      <w:szCs w:val="44"/>
    </w:rPr>
  </w:style>
  <w:style w:type="paragraph" w:customStyle="1" w:styleId="10">
    <w:name w:val="p0"/>
    <w:basedOn w:val="1"/>
    <w:qFormat/>
    <w:uiPriority w:val="0"/>
    <w:pPr>
      <w:widowControl/>
      <w:ind w:firstLine="200" w:firstLineChars="200"/>
    </w:pPr>
    <w:rPr>
      <w:kern w:val="0"/>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965</Words>
  <Characters>5503</Characters>
  <Lines>45</Lines>
  <Paragraphs>12</Paragraphs>
  <TotalTime>1</TotalTime>
  <ScaleCrop>false</ScaleCrop>
  <LinksUpToDate>false</LinksUpToDate>
  <CharactersWithSpaces>6456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2021-12-07T01:32:00Z</dcterms:created>
  <dc:creator>刘智敏</dc:creator>
  <cp:lastModifiedBy>徐利利</cp:lastModifiedBy>
  <dcterms:modified xsi:type="dcterms:W3CDTF">2021-12-07T02:37:58Z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8523584839A241F8A3333439434E4DF7</vt:lpwstr>
  </property>
</Properties>
</file>