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Fonts w:ascii="宋体" w:hAnsi="宋体" w:eastAsia="宋体" w:cs="Arial Unicode MS"/>
          <w:b/>
          <w:color w:val="000000"/>
          <w:kern w:val="0"/>
          <w:sz w:val="24"/>
          <w:szCs w:val="24"/>
        </w:rPr>
      </w:pPr>
      <w:r>
        <w:rPr>
          <w:rFonts w:hint="eastAsia" w:ascii="宋体" w:hAnsi="宋体" w:eastAsia="宋体" w:cs="Arial Unicode MS"/>
          <w:b/>
          <w:color w:val="000000"/>
          <w:kern w:val="0"/>
          <w:sz w:val="24"/>
          <w:szCs w:val="24"/>
        </w:rPr>
        <w:t>服务器</w:t>
      </w:r>
      <w:bookmarkStart w:id="0" w:name="_GoBack"/>
      <w:bookmarkEnd w:id="0"/>
    </w:p>
    <w:p>
      <w:pPr>
        <w:widowControl/>
        <w:spacing w:line="360" w:lineRule="auto"/>
        <w:outlineLvl w:val="0"/>
        <w:rPr>
          <w:rFonts w:ascii="宋体" w:hAnsi="宋体" w:eastAsia="宋体" w:cs="Arial Unicode MS"/>
          <w:b/>
          <w:color w:val="000000"/>
          <w:kern w:val="0"/>
          <w:sz w:val="24"/>
          <w:szCs w:val="24"/>
        </w:rPr>
      </w:pPr>
      <w:r>
        <w:rPr>
          <w:rFonts w:hint="eastAsia" w:ascii="宋体" w:hAnsi="宋体" w:eastAsia="宋体" w:cs="Arial Unicode MS"/>
          <w:b/>
          <w:color w:val="000000"/>
          <w:kern w:val="0"/>
          <w:sz w:val="24"/>
          <w:szCs w:val="24"/>
        </w:rPr>
        <w:t>一、总预算：</w:t>
      </w:r>
      <w:r>
        <w:rPr>
          <w:rFonts w:hint="eastAsia" w:ascii="宋体" w:hAnsi="宋体" w:eastAsia="宋体" w:cs="Arial Unicode MS"/>
          <w:b/>
          <w:color w:val="000000"/>
          <w:kern w:val="0"/>
          <w:sz w:val="24"/>
          <w:szCs w:val="24"/>
          <w:lang w:val="en-US" w:eastAsia="zh-CN"/>
        </w:rPr>
        <w:t>6</w:t>
      </w:r>
      <w:r>
        <w:rPr>
          <w:rFonts w:hint="eastAsia" w:ascii="宋体" w:hAnsi="宋体" w:eastAsia="宋体" w:cs="Arial Unicode MS"/>
          <w:b/>
          <w:color w:val="000000"/>
          <w:kern w:val="0"/>
          <w:sz w:val="24"/>
          <w:szCs w:val="24"/>
        </w:rPr>
        <w:t>万元</w:t>
      </w:r>
    </w:p>
    <w:p>
      <w:pPr>
        <w:widowControl/>
        <w:spacing w:line="360" w:lineRule="auto"/>
        <w:outlineLvl w:val="0"/>
        <w:rPr>
          <w:rFonts w:ascii="宋体" w:hAnsi="宋体" w:eastAsia="宋体" w:cs="Arial Unicode MS"/>
          <w:b/>
          <w:color w:val="000000"/>
          <w:kern w:val="0"/>
          <w:sz w:val="24"/>
          <w:szCs w:val="24"/>
        </w:rPr>
      </w:pPr>
      <w:r>
        <w:rPr>
          <w:rFonts w:hint="eastAsia" w:ascii="宋体" w:hAnsi="宋体" w:eastAsia="宋体" w:cs="Arial Unicode MS"/>
          <w:b/>
          <w:color w:val="000000"/>
          <w:kern w:val="0"/>
          <w:sz w:val="24"/>
          <w:szCs w:val="24"/>
        </w:rPr>
        <w:t>二、数量：2台</w:t>
      </w:r>
    </w:p>
    <w:p>
      <w:pPr>
        <w:pStyle w:val="5"/>
        <w:widowControl/>
        <w:spacing w:line="360" w:lineRule="auto"/>
        <w:ind w:firstLine="0" w:firstLineChars="0"/>
        <w:jc w:val="left"/>
        <w:outlineLvl w:val="0"/>
        <w:rPr>
          <w:rFonts w:hint="eastAsia" w:ascii="宋体" w:hAnsi="宋体" w:eastAsia="宋体" w:cs="Arial Unicode MS"/>
          <w:b/>
          <w:color w:val="000000"/>
          <w:kern w:val="0"/>
          <w:sz w:val="24"/>
          <w:szCs w:val="24"/>
          <w:lang w:val="en-US" w:eastAsia="zh-CN"/>
        </w:rPr>
      </w:pPr>
      <w:r>
        <w:rPr>
          <w:rFonts w:hint="eastAsia" w:ascii="宋体" w:hAnsi="宋体" w:eastAsia="宋体" w:cs="Arial Unicode MS"/>
          <w:b/>
          <w:color w:val="000000"/>
          <w:kern w:val="0"/>
          <w:sz w:val="24"/>
          <w:szCs w:val="24"/>
          <w:lang w:val="en-US"/>
        </w:rPr>
        <w:t>三、服务器具体配置要求如下：</w:t>
      </w:r>
      <w:r>
        <w:rPr>
          <w:rFonts w:hint="eastAsia" w:ascii="宋体" w:hAnsi="宋体" w:eastAsia="宋体" w:cs="Arial Unicode MS"/>
          <w:b/>
          <w:color w:val="000000"/>
          <w:kern w:val="0"/>
          <w:sz w:val="24"/>
          <w:szCs w:val="24"/>
          <w:lang w:val="en-US" w:eastAsia="zh-CN"/>
        </w:rPr>
        <w:t xml:space="preserve"> </w:t>
      </w:r>
    </w:p>
    <w:tbl>
      <w:tblPr>
        <w:tblStyle w:val="3"/>
        <w:tblpPr w:leftFromText="180" w:rightFromText="180" w:vertAnchor="text" w:horzAnchor="page" w:tblpX="1609" w:tblpY="390"/>
        <w:tblOverlap w:val="never"/>
        <w:tblW w:w="911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88"/>
        <w:gridCol w:w="7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788" w:type="dxa"/>
            <w:noWrap w:val="0"/>
            <w:vAlign w:val="center"/>
          </w:tcPr>
          <w:p>
            <w:pPr>
              <w:spacing w:line="360" w:lineRule="auto"/>
              <w:rPr>
                <w:color w:val="000000"/>
              </w:rPr>
            </w:pPr>
            <w:r>
              <w:rPr>
                <w:rFonts w:hint="eastAsia"/>
                <w:color w:val="000000"/>
              </w:rPr>
              <w:t>功能指标</w:t>
            </w:r>
          </w:p>
        </w:tc>
        <w:tc>
          <w:tcPr>
            <w:tcW w:w="7324" w:type="dxa"/>
            <w:noWrap w:val="0"/>
            <w:vAlign w:val="center"/>
          </w:tcPr>
          <w:p>
            <w:pPr>
              <w:spacing w:line="360" w:lineRule="auto"/>
              <w:rPr>
                <w:color w:val="000000"/>
              </w:rPr>
            </w:pPr>
            <w:r>
              <w:rPr>
                <w:rFonts w:hint="eastAsia"/>
                <w:color w:val="000000"/>
              </w:rPr>
              <w:t>技术要求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Pr>
        <w:tc>
          <w:tcPr>
            <w:tcW w:w="1788" w:type="dxa"/>
            <w:noWrap w:val="0"/>
            <w:vAlign w:val="center"/>
          </w:tcPr>
          <w:p>
            <w:pPr>
              <w:spacing w:line="360" w:lineRule="auto"/>
              <w:rPr>
                <w:b/>
                <w:bCs/>
                <w:color w:val="000000"/>
              </w:rPr>
            </w:pPr>
            <w:r>
              <w:rPr>
                <w:rFonts w:hint="eastAsia"/>
                <w:b/>
                <w:bCs/>
                <w:color w:val="000000"/>
              </w:rPr>
              <w:t>★处理器型号</w:t>
            </w:r>
          </w:p>
        </w:tc>
        <w:tc>
          <w:tcPr>
            <w:tcW w:w="7324" w:type="dxa"/>
            <w:noWrap w:val="0"/>
            <w:vAlign w:val="center"/>
          </w:tcPr>
          <w:p>
            <w:pPr>
              <w:spacing w:line="360" w:lineRule="auto"/>
              <w:rPr>
                <w:b/>
                <w:bCs/>
                <w:color w:val="000000"/>
              </w:rPr>
            </w:pPr>
            <w:r>
              <w:rPr>
                <w:rFonts w:hint="eastAsia"/>
                <w:b/>
                <w:bCs/>
                <w:color w:val="000000"/>
              </w:rPr>
              <w:t>配置≥</w:t>
            </w:r>
            <w:r>
              <w:rPr>
                <w:rFonts w:hint="eastAsia"/>
                <w:b/>
                <w:bCs/>
                <w:color w:val="000000"/>
                <w:lang w:val="en-US" w:eastAsia="zh-CN"/>
              </w:rPr>
              <w:t>1</w:t>
            </w:r>
            <w:r>
              <w:rPr>
                <w:rFonts w:hint="eastAsia"/>
                <w:b/>
                <w:bCs/>
                <w:color w:val="000000"/>
              </w:rPr>
              <w:t xml:space="preserve">颗Intel </w:t>
            </w:r>
            <w:r>
              <w:rPr>
                <w:rFonts w:hint="eastAsia"/>
                <w:b/>
                <w:bCs/>
                <w:color w:val="000000"/>
                <w:lang w:val="en-US" w:eastAsia="zh-CN"/>
              </w:rPr>
              <w:t>4210</w:t>
            </w:r>
            <w:r>
              <w:rPr>
                <w:rFonts w:hint="eastAsia"/>
                <w:b/>
                <w:bCs/>
                <w:color w:val="000000"/>
              </w:rPr>
              <w:t>处理器或更高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788" w:type="dxa"/>
            <w:noWrap w:val="0"/>
            <w:vAlign w:val="center"/>
          </w:tcPr>
          <w:p>
            <w:pPr>
              <w:spacing w:line="360" w:lineRule="auto"/>
              <w:rPr>
                <w:color w:val="000000"/>
              </w:rPr>
            </w:pPr>
            <w:r>
              <w:rPr>
                <w:rFonts w:hint="eastAsia"/>
                <w:color w:val="000000"/>
              </w:rPr>
              <w:t>单机内存可扩展数量要求</w:t>
            </w:r>
          </w:p>
        </w:tc>
        <w:tc>
          <w:tcPr>
            <w:tcW w:w="7324" w:type="dxa"/>
            <w:noWrap w:val="0"/>
            <w:vAlign w:val="center"/>
          </w:tcPr>
          <w:p>
            <w:pPr>
              <w:spacing w:line="360" w:lineRule="auto"/>
              <w:rPr>
                <w:color w:val="000000"/>
              </w:rPr>
            </w:pPr>
            <w:r>
              <w:rPr>
                <w:rFonts w:hint="eastAsia"/>
                <w:color w:val="000000"/>
              </w:rPr>
              <w:t>单机内存最大可扩展24根DDR4内存插槽, 支持RDIMM或LRDIMM，支持配置永久内存数量≥12。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788" w:type="dxa"/>
            <w:noWrap w:val="0"/>
            <w:vAlign w:val="center"/>
          </w:tcPr>
          <w:p>
            <w:pPr>
              <w:spacing w:line="360" w:lineRule="auto"/>
              <w:rPr>
                <w:b/>
                <w:bCs/>
                <w:color w:val="000000"/>
              </w:rPr>
            </w:pPr>
            <w:r>
              <w:rPr>
                <w:rFonts w:hint="eastAsia"/>
                <w:b/>
                <w:bCs/>
                <w:color w:val="000000"/>
              </w:rPr>
              <w:t>★单机实配内存</w:t>
            </w:r>
          </w:p>
        </w:tc>
        <w:tc>
          <w:tcPr>
            <w:tcW w:w="7324" w:type="dxa"/>
            <w:noWrap w:val="0"/>
            <w:vAlign w:val="center"/>
          </w:tcPr>
          <w:p>
            <w:pPr>
              <w:spacing w:line="360" w:lineRule="auto"/>
              <w:rPr>
                <w:b/>
                <w:bCs/>
                <w:color w:val="000000"/>
              </w:rPr>
            </w:pPr>
            <w:r>
              <w:rPr>
                <w:rFonts w:hint="eastAsia"/>
                <w:b/>
                <w:bCs/>
                <w:color w:val="000000"/>
              </w:rPr>
              <w:t>当前单机实际内存配置≥</w:t>
            </w:r>
            <w:r>
              <w:rPr>
                <w:rFonts w:hint="eastAsia"/>
                <w:b/>
                <w:bCs/>
                <w:color w:val="000000"/>
                <w:lang w:val="en-US" w:eastAsia="zh-CN"/>
              </w:rPr>
              <w:t>64</w:t>
            </w:r>
            <w:r>
              <w:rPr>
                <w:rFonts w:hint="eastAsia"/>
                <w:b/>
                <w:bCs/>
                <w:color w:val="000000"/>
              </w:rPr>
              <w:t>GB DDR4, 工作主频：2933及以上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788" w:type="dxa"/>
            <w:noWrap w:val="0"/>
            <w:vAlign w:val="center"/>
          </w:tcPr>
          <w:p>
            <w:pPr>
              <w:spacing w:line="360" w:lineRule="auto"/>
              <w:rPr>
                <w:b/>
                <w:bCs/>
                <w:color w:val="000000"/>
              </w:rPr>
            </w:pPr>
            <w:r>
              <w:rPr>
                <w:rFonts w:hint="eastAsia"/>
                <w:b/>
                <w:bCs/>
                <w:color w:val="000000"/>
              </w:rPr>
              <w:t>★内置盘种类及数量</w:t>
            </w:r>
          </w:p>
        </w:tc>
        <w:tc>
          <w:tcPr>
            <w:tcW w:w="7324" w:type="dxa"/>
            <w:noWrap w:val="0"/>
            <w:vAlign w:val="center"/>
          </w:tcPr>
          <w:p>
            <w:pPr>
              <w:spacing w:line="360" w:lineRule="auto"/>
              <w:rPr>
                <w:b/>
                <w:bCs/>
                <w:color w:val="000000"/>
              </w:rPr>
            </w:pPr>
            <w:r>
              <w:rPr>
                <w:rFonts w:hint="eastAsia"/>
                <w:b/>
                <w:bCs/>
                <w:color w:val="000000"/>
              </w:rPr>
              <w:t>配置≥</w:t>
            </w:r>
            <w:r>
              <w:rPr>
                <w:rFonts w:hint="eastAsia"/>
                <w:b/>
                <w:bCs/>
                <w:color w:val="000000"/>
                <w:lang w:val="en-US" w:eastAsia="zh-CN"/>
              </w:rPr>
              <w:t>3</w:t>
            </w:r>
            <w:r>
              <w:rPr>
                <w:rFonts w:hint="eastAsia"/>
                <w:b/>
                <w:bCs/>
                <w:color w:val="000000"/>
              </w:rPr>
              <w:t xml:space="preserve">块 </w:t>
            </w:r>
            <w:r>
              <w:rPr>
                <w:rFonts w:hint="eastAsia"/>
                <w:b/>
                <w:bCs/>
                <w:color w:val="000000"/>
                <w:lang w:val="en-US" w:eastAsia="zh-CN"/>
              </w:rPr>
              <w:t>2.4</w:t>
            </w:r>
            <w:r>
              <w:rPr>
                <w:rFonts w:hint="eastAsia"/>
                <w:b/>
                <w:bCs/>
                <w:color w:val="000000"/>
              </w:rPr>
              <w:t>TB S</w:t>
            </w:r>
            <w:r>
              <w:rPr>
                <w:rFonts w:hint="eastAsia"/>
                <w:b/>
                <w:bCs/>
                <w:color w:val="000000"/>
                <w:lang w:val="en-US" w:eastAsia="zh-CN"/>
              </w:rPr>
              <w:t>AS</w:t>
            </w:r>
            <w:r>
              <w:rPr>
                <w:rFonts w:hint="eastAsia"/>
                <w:b/>
                <w:bCs/>
                <w:color w:val="000000"/>
              </w:rPr>
              <w:t xml:space="preserve"> </w:t>
            </w:r>
            <w:r>
              <w:rPr>
                <w:rFonts w:hint="eastAsia"/>
                <w:b/>
                <w:bCs/>
                <w:color w:val="000000"/>
                <w:lang w:val="en-US" w:eastAsia="zh-CN"/>
              </w:rPr>
              <w:t>10</w:t>
            </w:r>
            <w:r>
              <w:rPr>
                <w:rFonts w:hint="eastAsia"/>
                <w:b/>
                <w:bCs/>
                <w:color w:val="000000"/>
              </w:rPr>
              <w:t>K硬盘 热插拔。可扩展至≥30块2.5寸热插拔硬盘，支持20个前置2.5寸可热插拔NVMe PCIe SSD硬盘。</w:t>
            </w:r>
            <w:r>
              <w:rPr>
                <w:rFonts w:hint="eastAsia"/>
                <w:b/>
                <w:bCs/>
                <w:color w:val="000000"/>
                <w:highlight w:val="none"/>
              </w:rPr>
              <w:t>需提供产品官网规格证明截图。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788" w:type="dxa"/>
            <w:noWrap w:val="0"/>
            <w:vAlign w:val="center"/>
          </w:tcPr>
          <w:p>
            <w:pPr>
              <w:spacing w:line="360" w:lineRule="auto"/>
              <w:rPr>
                <w:color w:val="000000"/>
              </w:rPr>
            </w:pPr>
            <w:r>
              <w:rPr>
                <w:rFonts w:hint="eastAsia"/>
                <w:color w:val="000000"/>
              </w:rPr>
              <w:t>★单机I/O插槽数量扩展能力要求</w:t>
            </w:r>
          </w:p>
        </w:tc>
        <w:tc>
          <w:tcPr>
            <w:tcW w:w="7324" w:type="dxa"/>
            <w:noWrap w:val="0"/>
            <w:vAlign w:val="center"/>
          </w:tcPr>
          <w:p>
            <w:pPr>
              <w:spacing w:line="360" w:lineRule="auto"/>
              <w:rPr>
                <w:color w:val="000000"/>
              </w:rPr>
            </w:pPr>
            <w:r>
              <w:rPr>
                <w:rFonts w:hint="eastAsia"/>
                <w:color w:val="000000"/>
              </w:rPr>
              <w:t>支持≥8个PCI-e 3.0全高插槽，支持≥3块双宽企业级GPU，≥7个单块GPU。</w:t>
            </w:r>
            <w:r>
              <w:rPr>
                <w:rFonts w:hint="eastAsia"/>
                <w:color w:val="000000"/>
                <w:highlight w:val="none"/>
              </w:rPr>
              <w:t>需提供产品官网规格证明截图。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788" w:type="dxa"/>
            <w:noWrap w:val="0"/>
            <w:vAlign w:val="center"/>
          </w:tcPr>
          <w:p>
            <w:pPr>
              <w:spacing w:line="360" w:lineRule="auto"/>
              <w:rPr>
                <w:color w:val="000000"/>
              </w:rPr>
            </w:pPr>
            <w:r>
              <w:rPr>
                <w:color w:val="000000"/>
              </w:rPr>
              <w:t>RAID控制器</w:t>
            </w:r>
          </w:p>
        </w:tc>
        <w:tc>
          <w:tcPr>
            <w:tcW w:w="7324" w:type="dxa"/>
            <w:noWrap w:val="0"/>
            <w:vAlign w:val="center"/>
          </w:tcPr>
          <w:p>
            <w:pPr>
              <w:spacing w:line="360" w:lineRule="auto"/>
              <w:rPr>
                <w:color w:val="000000"/>
              </w:rPr>
            </w:pPr>
            <w:r>
              <w:rPr>
                <w:rFonts w:hint="eastAsia"/>
                <w:color w:val="000000"/>
              </w:rPr>
              <w:t xml:space="preserve"> 2G缓存 SAS磁盘阵列控制器，配置电源保护模块，支持RAID0/1/10/5/6/50/60/，支持直通和R</w:t>
            </w:r>
            <w:r>
              <w:rPr>
                <w:color w:val="000000"/>
              </w:rPr>
              <w:t>AID</w:t>
            </w:r>
            <w:r>
              <w:rPr>
                <w:rFonts w:hint="eastAsia"/>
                <w:color w:val="000000"/>
              </w:rPr>
              <w:t>混合模式；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788" w:type="dxa"/>
            <w:noWrap w:val="0"/>
            <w:vAlign w:val="center"/>
          </w:tcPr>
          <w:p>
            <w:pPr>
              <w:spacing w:line="360" w:lineRule="auto"/>
              <w:rPr>
                <w:b/>
                <w:bCs/>
                <w:color w:val="000000"/>
              </w:rPr>
            </w:pPr>
            <w:r>
              <w:rPr>
                <w:rFonts w:hint="eastAsia"/>
                <w:b/>
                <w:bCs/>
                <w:color w:val="000000"/>
              </w:rPr>
              <w:t>以太网口</w:t>
            </w:r>
          </w:p>
        </w:tc>
        <w:tc>
          <w:tcPr>
            <w:tcW w:w="7324" w:type="dxa"/>
            <w:noWrap w:val="0"/>
            <w:vAlign w:val="center"/>
          </w:tcPr>
          <w:p>
            <w:pPr>
              <w:spacing w:line="360" w:lineRule="auto"/>
              <w:rPr>
                <w:b/>
                <w:bCs/>
                <w:color w:val="000000"/>
              </w:rPr>
            </w:pPr>
            <w:r>
              <w:rPr>
                <w:rFonts w:hint="eastAsia"/>
                <w:b/>
                <w:bCs/>
                <w:color w:val="000000"/>
              </w:rPr>
              <w:t>配置≥4口千兆电口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788" w:type="dxa"/>
            <w:noWrap w:val="0"/>
            <w:vAlign w:val="center"/>
          </w:tcPr>
          <w:p>
            <w:pPr>
              <w:spacing w:line="360" w:lineRule="auto"/>
              <w:rPr>
                <w:b/>
                <w:bCs/>
                <w:color w:val="000000"/>
              </w:rPr>
            </w:pPr>
            <w:r>
              <w:rPr>
                <w:rFonts w:hint="eastAsia"/>
                <w:b/>
                <w:bCs/>
                <w:color w:val="000000"/>
              </w:rPr>
              <w:t>电源风扇</w:t>
            </w:r>
          </w:p>
        </w:tc>
        <w:tc>
          <w:tcPr>
            <w:tcW w:w="7324" w:type="dxa"/>
            <w:noWrap w:val="0"/>
            <w:vAlign w:val="center"/>
          </w:tcPr>
          <w:p>
            <w:pPr>
              <w:spacing w:line="360" w:lineRule="auto"/>
              <w:rPr>
                <w:b/>
                <w:bCs/>
                <w:color w:val="000000"/>
              </w:rPr>
            </w:pPr>
            <w:r>
              <w:rPr>
                <w:rFonts w:hint="eastAsia"/>
                <w:b/>
                <w:bCs/>
                <w:color w:val="000000"/>
              </w:rPr>
              <w:t>配置≥</w:t>
            </w:r>
            <w:r>
              <w:rPr>
                <w:rFonts w:hint="eastAsia"/>
                <w:b/>
                <w:bCs/>
                <w:color w:val="000000"/>
                <w:lang w:val="en-US" w:eastAsia="zh-CN"/>
              </w:rPr>
              <w:t>2</w:t>
            </w:r>
            <w:r>
              <w:rPr>
                <w:rFonts w:hint="eastAsia"/>
                <w:b/>
                <w:bCs/>
                <w:color w:val="000000"/>
              </w:rPr>
              <w:t>个800W铂金版热插拔冗余电源，配置冗余风扇。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788" w:type="dxa"/>
            <w:noWrap w:val="0"/>
            <w:vAlign w:val="center"/>
          </w:tcPr>
          <w:p>
            <w:pPr>
              <w:spacing w:line="360" w:lineRule="auto"/>
              <w:rPr>
                <w:color w:val="000000"/>
              </w:rPr>
            </w:pPr>
            <w:r>
              <w:rPr>
                <w:rFonts w:hint="eastAsia"/>
                <w:color w:val="000000"/>
              </w:rPr>
              <w:t>操作系统</w:t>
            </w:r>
          </w:p>
        </w:tc>
        <w:tc>
          <w:tcPr>
            <w:tcW w:w="7324" w:type="dxa"/>
            <w:noWrap w:val="0"/>
            <w:vAlign w:val="center"/>
          </w:tcPr>
          <w:p>
            <w:pPr>
              <w:spacing w:line="360" w:lineRule="auto"/>
              <w:rPr>
                <w:color w:val="000000"/>
              </w:rPr>
            </w:pPr>
            <w:r>
              <w:rPr>
                <w:rFonts w:hint="eastAsia"/>
                <w:color w:val="000000"/>
              </w:rPr>
              <w:t>支持主流操作系统：Red Hat Enterprise Linux (RHEL)、 SUSE Linux Enterprise Server (SLES)、Oracle Linux/Oracle UEK、Oracle VM、VMware/KVM/Hyper-V、Microsoft Windows Server 2016 Standard and Datacenter、Microsoft Windows Server 2019 Standard and Datacenter；</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788" w:type="dxa"/>
            <w:vMerge w:val="restart"/>
            <w:noWrap w:val="0"/>
            <w:vAlign w:val="center"/>
          </w:tcPr>
          <w:p>
            <w:pPr>
              <w:spacing w:line="360" w:lineRule="auto"/>
              <w:rPr>
                <w:color w:val="000000"/>
              </w:rPr>
            </w:pPr>
            <w:r>
              <w:rPr>
                <w:rFonts w:hint="eastAsia"/>
                <w:color w:val="000000"/>
              </w:rPr>
              <w:t>★系统监控管理</w:t>
            </w:r>
          </w:p>
        </w:tc>
        <w:tc>
          <w:tcPr>
            <w:tcW w:w="7324" w:type="dxa"/>
            <w:noWrap w:val="0"/>
            <w:vAlign w:val="center"/>
          </w:tcPr>
          <w:p>
            <w:pPr>
              <w:spacing w:line="360" w:lineRule="auto"/>
              <w:rPr>
                <w:color w:val="000000"/>
              </w:rPr>
            </w:pPr>
            <w:r>
              <w:rPr>
                <w:rFonts w:hint="eastAsia"/>
                <w:color w:val="000000"/>
              </w:rPr>
              <w:t>配置≥1Gb独立的远程管理控制端口；</w:t>
            </w:r>
          </w:p>
          <w:p>
            <w:pPr>
              <w:spacing w:line="360" w:lineRule="auto"/>
              <w:rPr>
                <w:color w:val="000000"/>
              </w:rPr>
            </w:pPr>
            <w:r>
              <w:rPr>
                <w:rFonts w:hint="eastAsia"/>
                <w:color w:val="000000"/>
              </w:rPr>
              <w:t>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788" w:type="dxa"/>
            <w:vMerge w:val="continue"/>
            <w:noWrap w:val="0"/>
            <w:vAlign w:val="center"/>
          </w:tcPr>
          <w:p>
            <w:pPr>
              <w:spacing w:line="360" w:lineRule="auto"/>
              <w:rPr>
                <w:color w:val="000000"/>
              </w:rPr>
            </w:pPr>
          </w:p>
        </w:tc>
        <w:tc>
          <w:tcPr>
            <w:tcW w:w="7324" w:type="dxa"/>
            <w:noWrap w:val="0"/>
            <w:vAlign w:val="center"/>
          </w:tcPr>
          <w:p>
            <w:pPr>
              <w:spacing w:line="360" w:lineRule="auto"/>
              <w:rPr>
                <w:color w:val="000000"/>
              </w:rPr>
            </w:pPr>
            <w:r>
              <w:rPr>
                <w:rFonts w:hint="eastAsia"/>
                <w:color w:val="000000"/>
              </w:rPr>
              <w:t>可配置机箱入侵侦测，在外部打开机箱时提供报警功能</w:t>
            </w:r>
            <w:r>
              <w:rPr>
                <w:rFonts w:hint="eastAsia"/>
                <w:color w:val="000000"/>
                <w:highlight w:val="none"/>
              </w:rPr>
              <w:t>。需提供产品官网规格证明截图。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788" w:type="dxa"/>
            <w:vMerge w:val="continue"/>
            <w:noWrap w:val="0"/>
            <w:vAlign w:val="center"/>
          </w:tcPr>
          <w:p>
            <w:pPr>
              <w:spacing w:line="360" w:lineRule="auto"/>
              <w:rPr>
                <w:color w:val="000000"/>
              </w:rPr>
            </w:pPr>
          </w:p>
        </w:tc>
        <w:tc>
          <w:tcPr>
            <w:tcW w:w="7324" w:type="dxa"/>
            <w:noWrap w:val="0"/>
            <w:vAlign w:val="center"/>
          </w:tcPr>
          <w:p>
            <w:pPr>
              <w:spacing w:line="360" w:lineRule="auto"/>
              <w:rPr>
                <w:color w:val="000000"/>
              </w:rPr>
            </w:pPr>
            <w:r>
              <w:rPr>
                <w:rFonts w:hint="eastAsia"/>
                <w:color w:val="000000"/>
              </w:rPr>
              <w:t>支持可信硅根，硬件信任根，保护主机固件</w:t>
            </w:r>
            <w:r>
              <w:rPr>
                <w:rFonts w:hint="eastAsia"/>
                <w:color w:val="000000"/>
                <w:highlight w:val="none"/>
              </w:rPr>
              <w:t>，提供官网截图。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788" w:type="dxa"/>
            <w:noWrap w:val="0"/>
            <w:vAlign w:val="center"/>
          </w:tcPr>
          <w:p>
            <w:pPr>
              <w:spacing w:line="360" w:lineRule="auto"/>
              <w:rPr>
                <w:rFonts w:hint="eastAsia"/>
                <w:color w:val="000000"/>
              </w:rPr>
            </w:pPr>
            <w:r>
              <w:rPr>
                <w:color w:val="000000"/>
              </w:rPr>
              <w:t>Flash</w:t>
            </w:r>
          </w:p>
        </w:tc>
        <w:tc>
          <w:tcPr>
            <w:tcW w:w="7324" w:type="dxa"/>
            <w:noWrap w:val="0"/>
            <w:vAlign w:val="center"/>
          </w:tcPr>
          <w:p>
            <w:pPr>
              <w:spacing w:line="360" w:lineRule="auto"/>
              <w:rPr>
                <w:rFonts w:hint="eastAsia"/>
                <w:color w:val="000000"/>
              </w:rPr>
            </w:pPr>
            <w:r>
              <w:rPr>
                <w:rFonts w:hint="eastAsia"/>
                <w:color w:val="000000"/>
              </w:rPr>
              <w:t>配置</w:t>
            </w:r>
            <w:r>
              <w:rPr>
                <w:color w:val="000000"/>
              </w:rPr>
              <w:t>4GB Flash，可存放系统日志，内嵌操作系统导航安装环境，实现无物理光盘介质部署操作系统。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788" w:type="dxa"/>
            <w:noWrap w:val="0"/>
            <w:vAlign w:val="center"/>
          </w:tcPr>
          <w:p>
            <w:pPr>
              <w:spacing w:line="360" w:lineRule="auto"/>
              <w:rPr>
                <w:rFonts w:hint="eastAsia"/>
                <w:color w:val="000000"/>
              </w:rPr>
            </w:pPr>
            <w:r>
              <w:rPr>
                <w:rFonts w:hint="eastAsia"/>
                <w:color w:val="000000"/>
              </w:rPr>
              <w:t>服务器管理平台</w:t>
            </w:r>
          </w:p>
        </w:tc>
        <w:tc>
          <w:tcPr>
            <w:tcW w:w="7324" w:type="dxa"/>
            <w:noWrap w:val="0"/>
            <w:vAlign w:val="center"/>
          </w:tcPr>
          <w:p>
            <w:pPr>
              <w:spacing w:line="360" w:lineRule="auto"/>
              <w:rPr>
                <w:rFonts w:hint="eastAsia"/>
                <w:color w:val="000000"/>
              </w:rPr>
            </w:pPr>
            <w:r>
              <w:rPr>
                <w:rFonts w:hint="eastAsia"/>
                <w:color w:val="000000"/>
              </w:rPr>
              <w:t>配置服务器管理平台，支持本次购买的服务器和已有服务器的联合管理功能，即可实现所有服务器统一管理功能，如监控服务器</w:t>
            </w:r>
            <w:r>
              <w:rPr>
                <w:color w:val="000000"/>
              </w:rPr>
              <w:t>CPU、功率、温度、功率封顶历史等硬件健康状况，按照服务器配置文件模版实现固件/驱动程序升级等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788" w:type="dxa"/>
            <w:noWrap w:val="0"/>
            <w:vAlign w:val="center"/>
          </w:tcPr>
          <w:p>
            <w:pPr>
              <w:spacing w:line="360" w:lineRule="auto"/>
              <w:rPr>
                <w:rFonts w:hint="eastAsia"/>
                <w:color w:val="000000"/>
              </w:rPr>
            </w:pPr>
            <w:r>
              <w:rPr>
                <w:rFonts w:hint="eastAsia"/>
                <w:color w:val="000000"/>
              </w:rPr>
              <w:t>★智能调优</w:t>
            </w:r>
          </w:p>
        </w:tc>
        <w:tc>
          <w:tcPr>
            <w:tcW w:w="7324" w:type="dxa"/>
            <w:noWrap w:val="0"/>
            <w:vAlign w:val="center"/>
          </w:tcPr>
          <w:p>
            <w:pPr>
              <w:spacing w:line="360" w:lineRule="auto"/>
              <w:rPr>
                <w:rFonts w:hint="eastAsia"/>
                <w:color w:val="000000"/>
              </w:rPr>
            </w:pPr>
            <w:r>
              <w:rPr>
                <w:rFonts w:hint="eastAsia"/>
                <w:color w:val="000000"/>
              </w:rPr>
              <w:t>支持基于嵌入式管理的硬件性能调优功能，针对延迟敏感型工作负载，可实现CPU在高于额定频率之上的稳定频率输出；可实现利用预配置的配置文件，自动调优内部服务器资源；可实现在更多的处理器内核上启用英特尔睿频技术所提供的更高的性能，优化工作负载性能，</w:t>
            </w:r>
            <w:r>
              <w:rPr>
                <w:rFonts w:hint="eastAsia"/>
                <w:color w:val="000000"/>
                <w:highlight w:val="none"/>
              </w:rPr>
              <w:t>提供官网链接</w:t>
            </w:r>
          </w:p>
        </w:tc>
      </w:tr>
    </w:tbl>
    <w:p>
      <w:pPr>
        <w:pStyle w:val="5"/>
        <w:widowControl/>
        <w:spacing w:line="360" w:lineRule="auto"/>
        <w:ind w:firstLine="0" w:firstLineChars="0"/>
        <w:jc w:val="left"/>
        <w:outlineLvl w:val="0"/>
        <w:rPr>
          <w:rFonts w:hint="eastAsia" w:ascii="宋体" w:hAnsi="宋体" w:eastAsia="宋体" w:cs="Arial Unicode MS"/>
          <w:b/>
          <w:color w:val="000000"/>
          <w:kern w:val="0"/>
          <w:sz w:val="24"/>
          <w:szCs w:val="24"/>
          <w:lang w:val="en-US"/>
        </w:rPr>
      </w:pPr>
    </w:p>
    <w:p>
      <w:pPr>
        <w:pStyle w:val="5"/>
        <w:widowControl/>
        <w:numPr>
          <w:ilvl w:val="0"/>
          <w:numId w:val="0"/>
        </w:numPr>
        <w:spacing w:line="360" w:lineRule="auto"/>
        <w:ind w:leftChars="0"/>
        <w:jc w:val="left"/>
        <w:outlineLvl w:val="0"/>
        <w:rPr>
          <w:rFonts w:ascii="宋体" w:hAnsi="宋体" w:eastAsia="宋体" w:cs="Arial Unicode MS"/>
          <w:b/>
          <w:kern w:val="0"/>
          <w:sz w:val="24"/>
          <w:szCs w:val="24"/>
        </w:rPr>
      </w:pPr>
      <w:r>
        <w:rPr>
          <w:rFonts w:hint="eastAsia" w:ascii="宋体" w:hAnsi="宋体" w:eastAsia="宋体" w:cs="Arial Unicode MS"/>
          <w:b/>
          <w:kern w:val="0"/>
          <w:sz w:val="24"/>
          <w:szCs w:val="24"/>
          <w:lang w:val="en-US" w:eastAsia="zh-CN"/>
        </w:rPr>
        <w:t>四、</w:t>
      </w:r>
      <w:r>
        <w:rPr>
          <w:rFonts w:hint="eastAsia" w:ascii="宋体" w:hAnsi="宋体" w:eastAsia="宋体" w:cs="Arial Unicode MS"/>
          <w:b/>
          <w:kern w:val="0"/>
          <w:sz w:val="24"/>
          <w:szCs w:val="24"/>
        </w:rPr>
        <w:t>系统集成服务（1套）</w:t>
      </w:r>
    </w:p>
    <w:tbl>
      <w:tblPr>
        <w:tblStyle w:val="3"/>
        <w:tblW w:w="9125"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917" w:type="dxa"/>
            <w:vAlign w:val="center"/>
          </w:tcPr>
          <w:p>
            <w:pPr>
              <w:spacing w:line="360" w:lineRule="auto"/>
              <w:rPr>
                <w:rFonts w:ascii="宋体" w:hAnsi="宋体"/>
                <w:szCs w:val="21"/>
              </w:rPr>
            </w:pPr>
            <w:r>
              <w:rPr>
                <w:rFonts w:hint="eastAsia" w:ascii="宋体" w:hAnsi="宋体"/>
                <w:szCs w:val="21"/>
              </w:rPr>
              <w:t>指标项</w:t>
            </w:r>
          </w:p>
        </w:tc>
        <w:tc>
          <w:tcPr>
            <w:tcW w:w="7208" w:type="dxa"/>
            <w:vAlign w:val="center"/>
          </w:tcPr>
          <w:p>
            <w:pPr>
              <w:spacing w:line="360" w:lineRule="auto"/>
              <w:rPr>
                <w:rFonts w:ascii="宋体" w:hAnsi="宋体"/>
                <w:szCs w:val="21"/>
              </w:rPr>
            </w:pPr>
            <w:r>
              <w:rPr>
                <w:rFonts w:hint="eastAsia" w:ascii="宋体" w:hAnsi="宋体"/>
                <w:szCs w:val="21"/>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17" w:type="dxa"/>
            <w:vAlign w:val="center"/>
          </w:tcPr>
          <w:p>
            <w:pPr>
              <w:spacing w:line="360" w:lineRule="auto"/>
              <w:rPr>
                <w:rFonts w:ascii="宋体" w:hAnsi="宋体"/>
                <w:szCs w:val="21"/>
              </w:rPr>
            </w:pPr>
            <w:r>
              <w:rPr>
                <w:rFonts w:hint="eastAsia" w:ascii="宋体" w:hAnsi="宋体"/>
                <w:szCs w:val="21"/>
              </w:rPr>
              <w:t>集成服务</w:t>
            </w:r>
          </w:p>
        </w:tc>
        <w:tc>
          <w:tcPr>
            <w:tcW w:w="7208" w:type="dxa"/>
            <w:vAlign w:val="center"/>
          </w:tcPr>
          <w:p>
            <w:pPr>
              <w:spacing w:line="360" w:lineRule="auto"/>
              <w:rPr>
                <w:rFonts w:ascii="宋体" w:hAnsi="宋体"/>
                <w:szCs w:val="21"/>
              </w:rPr>
            </w:pPr>
            <w:r>
              <w:rPr>
                <w:rFonts w:hint="eastAsia" w:ascii="宋体" w:hAnsi="宋体"/>
                <w:szCs w:val="21"/>
              </w:rPr>
              <w:t>1、投标商须在温州设有售后服务机构（以营业执照为准），维保期内提供免费的技术支持和升级服务，提供本地化的现场技术保障服务。</w:t>
            </w:r>
          </w:p>
          <w:p>
            <w:pPr>
              <w:spacing w:line="360" w:lineRule="auto"/>
              <w:rPr>
                <w:rFonts w:ascii="宋体" w:hAnsi="宋体"/>
                <w:szCs w:val="21"/>
              </w:rPr>
            </w:pPr>
            <w:r>
              <w:rPr>
                <w:rFonts w:hint="eastAsia" w:ascii="宋体" w:hAnsi="宋体"/>
                <w:szCs w:val="21"/>
              </w:rPr>
              <w:t>2、原厂至少三年7*24小时技术服务响应和支持，接到用户故障申告电话后于30分钟内做出响应，须在第一时间接收客户需求并予以必要支持，原厂服务工程师将于4小时内到达现场。服务工程师到达用户现场后，如果属于设备硬件问题，将在2小时内排除障碍。如4小时内未能解决的故障，需提供型号相同或兼容、性能等同于或高于该故障机的备用机。</w:t>
            </w:r>
          </w:p>
          <w:p>
            <w:pPr>
              <w:spacing w:line="360" w:lineRule="auto"/>
              <w:rPr>
                <w:rFonts w:ascii="宋体" w:hAnsi="宋体"/>
                <w:szCs w:val="21"/>
              </w:rPr>
            </w:pPr>
            <w:r>
              <w:rPr>
                <w:rFonts w:ascii="宋体" w:hAnsi="宋体"/>
                <w:szCs w:val="21"/>
              </w:rPr>
              <w:t>3</w:t>
            </w:r>
            <w:r>
              <w:rPr>
                <w:rFonts w:hint="eastAsia" w:ascii="宋体" w:hAnsi="宋体"/>
                <w:szCs w:val="21"/>
              </w:rPr>
              <w:t>、★投标商须自备一套安恒等保工具箱安全检测工具，为本次投标所有设备提供安全检查和加固服务。安全工具的功能主要包括：</w:t>
            </w:r>
            <w:r>
              <w:fldChar w:fldCharType="begin"/>
            </w:r>
            <w:r>
              <w:instrText xml:space="preserve"> HYPERLINK "file:///D:\\项目\\公安\\情报支队\\2017\\第六部分%20%20%20评标办法1031.docx" \l "_Toc486497395" </w:instrText>
            </w:r>
            <w:r>
              <w:fldChar w:fldCharType="separate"/>
            </w:r>
            <w:r>
              <w:rPr>
                <w:rFonts w:hint="eastAsia" w:ascii="宋体" w:hAnsi="宋体"/>
                <w:szCs w:val="21"/>
              </w:rPr>
              <w:t>Windows主机配置检查工具、</w:t>
            </w:r>
            <w:r>
              <w:rPr>
                <w:rFonts w:hint="eastAsia" w:ascii="宋体" w:hAnsi="宋体"/>
                <w:szCs w:val="21"/>
              </w:rPr>
              <w:fldChar w:fldCharType="end"/>
            </w:r>
            <w:r>
              <w:fldChar w:fldCharType="begin"/>
            </w:r>
            <w:r>
              <w:instrText xml:space="preserve"> HYPERLINK "file:///D:\\项目\\公安\\情报支队\\2017\\第六部分%20%20%20评标办法1031.docx" \l "_Toc486497396" </w:instrText>
            </w:r>
            <w:r>
              <w:fldChar w:fldCharType="separate"/>
            </w:r>
            <w:r>
              <w:rPr>
                <w:rFonts w:hint="eastAsia" w:ascii="宋体" w:hAnsi="宋体"/>
                <w:szCs w:val="21"/>
              </w:rPr>
              <w:t>Linux主机配置检查工具、</w:t>
            </w:r>
            <w:r>
              <w:rPr>
                <w:rFonts w:hint="eastAsia" w:ascii="宋体" w:hAnsi="宋体"/>
                <w:szCs w:val="21"/>
              </w:rPr>
              <w:fldChar w:fldCharType="end"/>
            </w:r>
            <w:r>
              <w:fldChar w:fldCharType="begin"/>
            </w:r>
            <w:r>
              <w:instrText xml:space="preserve"> HYPERLINK "file:///D:\\项目\\公安\\情报支队\\2017\\第六部分%20%20%20评标办法1031.docx" \l "_Toc486497397" </w:instrText>
            </w:r>
            <w:r>
              <w:fldChar w:fldCharType="separate"/>
            </w:r>
            <w:r>
              <w:rPr>
                <w:rFonts w:hint="eastAsia" w:ascii="宋体" w:hAnsi="宋体"/>
                <w:szCs w:val="21"/>
              </w:rPr>
              <w:t>网络设备配置检查工具</w:t>
            </w:r>
            <w:r>
              <w:rPr>
                <w:rFonts w:hint="eastAsia" w:ascii="宋体" w:hAnsi="宋体"/>
                <w:szCs w:val="21"/>
              </w:rPr>
              <w:fldChar w:fldCharType="end"/>
            </w:r>
            <w:r>
              <w:fldChar w:fldCharType="begin"/>
            </w:r>
            <w:r>
              <w:instrText xml:space="preserve"> HYPERLINK "file:///D:\\项目\\公安\\情报支队\\2017\\第六部分%20%20%20评标办法1031.docx" \l "_Toc486497399" </w:instrText>
            </w:r>
            <w:r>
              <w:fldChar w:fldCharType="separate"/>
            </w:r>
            <w:r>
              <w:rPr>
                <w:rFonts w:hint="eastAsia" w:ascii="宋体" w:hAnsi="宋体"/>
                <w:szCs w:val="21"/>
              </w:rPr>
              <w:t>、主机木马检查工具</w:t>
            </w:r>
            <w:r>
              <w:rPr>
                <w:rFonts w:hint="eastAsia" w:ascii="宋体" w:hAnsi="宋体"/>
                <w:szCs w:val="21"/>
              </w:rPr>
              <w:fldChar w:fldCharType="end"/>
            </w:r>
            <w:r>
              <w:rPr>
                <w:rFonts w:hint="eastAsia" w:ascii="宋体" w:hAnsi="宋体"/>
                <w:szCs w:val="21"/>
              </w:rPr>
              <w:t>、</w:t>
            </w:r>
            <w:r>
              <w:fldChar w:fldCharType="begin"/>
            </w:r>
            <w:r>
              <w:instrText xml:space="preserve"> HYPERLINK "file:///D:\\项目\\公安\\情报支队\\2017\\第六部分%20%20%20评标办法1031.docx" \l "_Toc486497400" </w:instrText>
            </w:r>
            <w:r>
              <w:fldChar w:fldCharType="separate"/>
            </w:r>
            <w:r>
              <w:rPr>
                <w:rFonts w:hint="eastAsia" w:ascii="宋体" w:hAnsi="宋体"/>
                <w:szCs w:val="21"/>
              </w:rPr>
              <w:t>网站恶意代码检查工具、</w:t>
            </w:r>
            <w:r>
              <w:rPr>
                <w:rFonts w:hint="eastAsia" w:ascii="宋体" w:hAnsi="宋体"/>
                <w:szCs w:val="21"/>
              </w:rPr>
              <w:fldChar w:fldCharType="end"/>
            </w:r>
            <w:r>
              <w:fldChar w:fldCharType="begin"/>
            </w:r>
            <w:r>
              <w:instrText xml:space="preserve"> HYPERLINK "file:///D:\\项目\\公安\\情报支队\\2017\\第六部分%20%20%20评标办法1031.docx" \l "_Toc486497401" </w:instrText>
            </w:r>
            <w:r>
              <w:fldChar w:fldCharType="separate"/>
            </w:r>
            <w:r>
              <w:rPr>
                <w:rFonts w:hint="eastAsia" w:ascii="宋体" w:hAnsi="宋体"/>
                <w:szCs w:val="21"/>
              </w:rPr>
              <w:t>弱口令检查工具、</w:t>
            </w:r>
            <w:r>
              <w:rPr>
                <w:rFonts w:hint="eastAsia" w:ascii="宋体" w:hAnsi="宋体"/>
                <w:szCs w:val="21"/>
              </w:rPr>
              <w:fldChar w:fldCharType="end"/>
            </w:r>
            <w:r>
              <w:fldChar w:fldCharType="begin"/>
            </w:r>
            <w:r>
              <w:instrText xml:space="preserve"> HYPERLINK "file:///D:\\项目\\公安\\情报支队\\2017\\第六部分%20%20%20评标办法1031.docx" \l "_Toc486497402" </w:instrText>
            </w:r>
            <w:r>
              <w:fldChar w:fldCharType="separate"/>
            </w:r>
            <w:r>
              <w:rPr>
                <w:rFonts w:hint="eastAsia" w:ascii="宋体" w:hAnsi="宋体"/>
                <w:szCs w:val="21"/>
              </w:rPr>
              <w:t>数据库安全检查工具</w:t>
            </w:r>
            <w:r>
              <w:rPr>
                <w:rFonts w:hint="eastAsia" w:ascii="宋体" w:hAnsi="宋体"/>
                <w:szCs w:val="21"/>
              </w:rPr>
              <w:fldChar w:fldCharType="end"/>
            </w:r>
            <w:r>
              <w:rPr>
                <w:rFonts w:hint="eastAsia" w:ascii="宋体" w:hAnsi="宋体"/>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17" w:type="dxa"/>
            <w:vAlign w:val="center"/>
          </w:tcPr>
          <w:p>
            <w:pPr>
              <w:pStyle w:val="6"/>
              <w:spacing w:line="360" w:lineRule="auto"/>
              <w:jc w:val="center"/>
              <w:rPr>
                <w:rFonts w:eastAsiaTheme="minorEastAsia" w:cstheme="minorBidi"/>
                <w:sz w:val="21"/>
                <w:szCs w:val="21"/>
              </w:rPr>
            </w:pPr>
            <w:r>
              <w:rPr>
                <w:rFonts w:hint="eastAsia" w:eastAsiaTheme="minorEastAsia" w:cstheme="minorBidi"/>
                <w:sz w:val="21"/>
                <w:szCs w:val="21"/>
              </w:rPr>
              <w:t>交货时间及地点</w:t>
            </w:r>
          </w:p>
        </w:tc>
        <w:tc>
          <w:tcPr>
            <w:tcW w:w="7208" w:type="dxa"/>
            <w:vAlign w:val="center"/>
          </w:tcPr>
          <w:p>
            <w:pPr>
              <w:pStyle w:val="6"/>
              <w:spacing w:line="360" w:lineRule="auto"/>
              <w:jc w:val="left"/>
              <w:rPr>
                <w:rFonts w:eastAsiaTheme="minorEastAsia" w:cstheme="minorBidi"/>
                <w:sz w:val="21"/>
                <w:szCs w:val="21"/>
              </w:rPr>
            </w:pPr>
            <w:r>
              <w:rPr>
                <w:rFonts w:hint="eastAsia" w:eastAsiaTheme="minorEastAsia" w:cstheme="minorBidi"/>
                <w:sz w:val="21"/>
                <w:szCs w:val="21"/>
              </w:rPr>
              <w:t>投标人需承诺在签订合同后二个月内完成设备安装调试并投入业务试运行。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17" w:type="dxa"/>
            <w:vAlign w:val="center"/>
          </w:tcPr>
          <w:p>
            <w:pPr>
              <w:pStyle w:val="6"/>
              <w:spacing w:line="360" w:lineRule="auto"/>
              <w:jc w:val="center"/>
              <w:rPr>
                <w:rFonts w:eastAsiaTheme="minorEastAsia" w:cstheme="minorBidi"/>
                <w:sz w:val="21"/>
                <w:szCs w:val="21"/>
              </w:rPr>
            </w:pPr>
            <w:r>
              <w:rPr>
                <w:rFonts w:hint="eastAsia" w:eastAsiaTheme="minorEastAsia" w:cstheme="minorBidi"/>
                <w:sz w:val="21"/>
                <w:szCs w:val="21"/>
              </w:rPr>
              <w:t>培训</w:t>
            </w:r>
          </w:p>
        </w:tc>
        <w:tc>
          <w:tcPr>
            <w:tcW w:w="7208" w:type="dxa"/>
          </w:tcPr>
          <w:p>
            <w:pPr>
              <w:pStyle w:val="6"/>
              <w:spacing w:line="360" w:lineRule="auto"/>
              <w:rPr>
                <w:rFonts w:eastAsiaTheme="minorEastAsia" w:cstheme="minorBidi"/>
                <w:sz w:val="21"/>
                <w:szCs w:val="21"/>
              </w:rPr>
            </w:pPr>
            <w:r>
              <w:rPr>
                <w:rFonts w:hint="eastAsia" w:eastAsiaTheme="minorEastAsia" w:cstheme="minorBidi"/>
                <w:sz w:val="21"/>
                <w:szCs w:val="21"/>
              </w:rPr>
              <w:t>针对本项目，对用户方的技术人员提供包括系统管理、硬件维护等培训内容，使用户方的相关人员能掌握关系设备的使用、维护和管理，达到能独立进行管理、故障处理、日常测试维护等工作的目的，以保障所提供的设备能够正常、安全的运行。</w:t>
            </w:r>
          </w:p>
        </w:tc>
      </w:tr>
    </w:tbl>
    <w:p>
      <w:pPr>
        <w:spacing w:line="360" w:lineRule="auto"/>
        <w:rPr>
          <w:rFonts w:ascii="宋体" w:hAnsi="宋体" w:eastAsia="宋体" w:cs="Arial Unicode MS"/>
          <w:b/>
          <w:color w:val="FF0000"/>
          <w:kern w:val="0"/>
          <w:sz w:val="24"/>
          <w:szCs w:val="24"/>
        </w:rPr>
      </w:pPr>
    </w:p>
    <w:p>
      <w:pPr>
        <w:rPr>
          <w:rFonts w:ascii="宋体" w:hAnsi="宋体"/>
          <w:sz w:val="24"/>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D4838"/>
    <w:rsid w:val="0EFD4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0"/>
    <w:pPr>
      <w:ind w:firstLine="420" w:firstLineChars="200"/>
    </w:pPr>
    <w:rPr>
      <w:lang w:val="zh-CN"/>
    </w:rPr>
  </w:style>
  <w:style w:type="paragraph" w:styleId="6">
    <w:name w:val="No Spacing"/>
    <w:qFormat/>
    <w:uiPriority w:val="1"/>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2021-11-09T02:18:00Z</dcterms:created>
  <dc:creator>刘智敏</dc:creator>
  <cp:lastModifiedBy>刘智敏</cp:lastModifiedBy>
  <dcterms:modified xsi:type="dcterms:W3CDTF">2021-11-09T02:19:20Z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D33DB993AF1845A88CFEE2EB3C71DAD0</vt:lpwstr>
  </property>
</Properties>
</file>