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72"/>
          <w:szCs w:val="72"/>
        </w:rPr>
      </w:pPr>
      <w:r>
        <w:rPr>
          <w:rFonts w:hint="eastAsia" w:asciiTheme="minorEastAsia" w:hAnsiTheme="minorEastAsia"/>
          <w:sz w:val="72"/>
          <w:szCs w:val="72"/>
        </w:rPr>
        <w:t>温州市中医院</w:t>
      </w:r>
    </w:p>
    <w:p>
      <w:pPr>
        <w:jc w:val="center"/>
        <w:rPr>
          <w:rFonts w:asciiTheme="minorEastAsia" w:hAnsiTheme="minorEastAsia"/>
          <w:sz w:val="44"/>
          <w:szCs w:val="44"/>
        </w:rPr>
      </w:pPr>
      <w:r>
        <w:rPr>
          <w:rFonts w:hint="eastAsia" w:asciiTheme="minorEastAsia" w:hAnsiTheme="minorEastAsia"/>
          <w:sz w:val="44"/>
          <w:szCs w:val="44"/>
        </w:rPr>
        <w:t>内镜中心外送项目</w:t>
      </w:r>
    </w:p>
    <w:p>
      <w:pPr>
        <w:rPr>
          <w:rFonts w:asciiTheme="minorEastAsia" w:hAnsiTheme="minorEastAsia"/>
          <w:sz w:val="24"/>
          <w:szCs w:val="24"/>
        </w:rPr>
      </w:pPr>
    </w:p>
    <w:p>
      <w:pPr>
        <w:rPr>
          <w:rFonts w:asciiTheme="minorEastAsia" w:hAnsiTheme="minorEastAsia"/>
          <w:sz w:val="24"/>
          <w:szCs w:val="24"/>
        </w:rPr>
      </w:pPr>
    </w:p>
    <w:p>
      <w:pPr>
        <w:spacing w:line="460" w:lineRule="exact"/>
        <w:ind w:firstLine="590" w:firstLineChars="245"/>
        <w:outlineLvl w:val="1"/>
        <w:rPr>
          <w:rFonts w:hint="eastAsia" w:ascii="新宋体" w:hAnsi="新宋体" w:eastAsia="新宋体"/>
          <w:b/>
          <w:sz w:val="24"/>
          <w:szCs w:val="22"/>
        </w:rPr>
      </w:pPr>
    </w:p>
    <w:p>
      <w:pPr>
        <w:tabs>
          <w:tab w:val="left" w:pos="360"/>
        </w:tabs>
        <w:spacing w:line="460" w:lineRule="exact"/>
        <w:ind w:firstLine="552" w:firstLineChars="250"/>
        <w:rPr>
          <w:rFonts w:ascii="新宋体" w:hAnsi="新宋体" w:eastAsia="新宋体" w:cs="新宋体"/>
          <w:b/>
          <w:bCs/>
          <w:sz w:val="22"/>
          <w:szCs w:val="22"/>
        </w:rPr>
      </w:pPr>
      <w:r>
        <w:rPr>
          <w:rFonts w:hint="eastAsia" w:ascii="新宋体" w:hAnsi="新宋体" w:eastAsia="新宋体" w:cs="新宋体"/>
          <w:b/>
          <w:bCs/>
          <w:sz w:val="22"/>
          <w:szCs w:val="22"/>
        </w:rPr>
        <w:t>一、项目概述</w:t>
      </w:r>
    </w:p>
    <w:p>
      <w:pPr>
        <w:spacing w:line="460" w:lineRule="exact"/>
        <w:ind w:firstLine="440" w:firstLineChars="200"/>
        <w:rPr>
          <w:rFonts w:ascii="新宋体" w:hAnsi="新宋体" w:eastAsia="新宋体" w:cs="新宋体"/>
          <w:sz w:val="22"/>
          <w:szCs w:val="22"/>
        </w:rPr>
      </w:pPr>
      <w:r>
        <w:rPr>
          <w:rFonts w:hint="eastAsia" w:ascii="新宋体" w:hAnsi="新宋体" w:eastAsia="新宋体" w:cs="新宋体"/>
          <w:sz w:val="22"/>
          <w:szCs w:val="22"/>
        </w:rPr>
        <w:t>本次采购内容为温州市中医院幽门螺旋杆菌检测标本外送服务，包括但不限于提供运输服务，配套车辆设备，配备服务人员，外送标本检验等全部工作。投标人应根据招标文件所提出的技术规格和服务要求，综合考虑设备的适应性。希望投标人以精良的设备、优良的服务和优惠的价格，充分显示你们的竞争实力。</w:t>
      </w:r>
    </w:p>
    <w:p>
      <w:pPr>
        <w:tabs>
          <w:tab w:val="left" w:pos="360"/>
        </w:tabs>
        <w:spacing w:line="460" w:lineRule="exact"/>
        <w:ind w:firstLine="552" w:firstLineChars="250"/>
        <w:rPr>
          <w:rFonts w:ascii="新宋体" w:hAnsi="新宋体" w:eastAsia="新宋体" w:cs="新宋体"/>
          <w:b/>
          <w:bCs/>
          <w:sz w:val="22"/>
          <w:szCs w:val="22"/>
        </w:rPr>
      </w:pPr>
      <w:r>
        <w:rPr>
          <w:rFonts w:hint="eastAsia" w:ascii="新宋体" w:hAnsi="新宋体" w:eastAsia="新宋体" w:cs="新宋体"/>
          <w:b/>
          <w:bCs/>
          <w:sz w:val="22"/>
          <w:szCs w:val="22"/>
        </w:rPr>
        <w:t>二、需求一览表</w:t>
      </w:r>
    </w:p>
    <w:p>
      <w:pPr>
        <w:tabs>
          <w:tab w:val="left" w:pos="360"/>
        </w:tabs>
        <w:spacing w:line="460" w:lineRule="exact"/>
        <w:rPr>
          <w:rFonts w:ascii="新宋体" w:hAnsi="新宋体" w:eastAsia="新宋体" w:cs="新宋体"/>
          <w:b/>
          <w:bCs/>
          <w:sz w:val="22"/>
          <w:szCs w:val="22"/>
        </w:rPr>
      </w:pPr>
    </w:p>
    <w:tbl>
      <w:tblPr>
        <w:tblStyle w:val="6"/>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657"/>
        <w:gridCol w:w="1272"/>
        <w:gridCol w:w="181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5" w:type="dxa"/>
            <w:vAlign w:val="center"/>
          </w:tcPr>
          <w:p>
            <w:pPr>
              <w:pStyle w:val="2"/>
              <w:spacing w:line="360" w:lineRule="auto"/>
              <w:ind w:firstLine="0"/>
              <w:jc w:val="center"/>
              <w:rPr>
                <w:rFonts w:ascii="新宋体" w:hAnsi="新宋体" w:eastAsia="新宋体" w:cs="新宋体"/>
                <w:spacing w:val="0"/>
                <w:sz w:val="22"/>
                <w:szCs w:val="22"/>
              </w:rPr>
            </w:pPr>
            <w:r>
              <w:rPr>
                <w:rFonts w:hint="eastAsia" w:ascii="新宋体" w:hAnsi="新宋体" w:eastAsia="新宋体" w:cs="新宋体"/>
                <w:spacing w:val="0"/>
                <w:sz w:val="22"/>
                <w:szCs w:val="22"/>
              </w:rPr>
              <w:t>序号</w:t>
            </w:r>
          </w:p>
        </w:tc>
        <w:tc>
          <w:tcPr>
            <w:tcW w:w="3657" w:type="dxa"/>
            <w:vAlign w:val="center"/>
          </w:tcPr>
          <w:p>
            <w:pPr>
              <w:pStyle w:val="2"/>
              <w:spacing w:line="360" w:lineRule="auto"/>
              <w:ind w:firstLine="0"/>
              <w:jc w:val="center"/>
              <w:rPr>
                <w:rFonts w:ascii="新宋体" w:hAnsi="新宋体" w:eastAsia="新宋体" w:cs="新宋体"/>
                <w:spacing w:val="0"/>
                <w:sz w:val="22"/>
                <w:szCs w:val="22"/>
              </w:rPr>
            </w:pPr>
            <w:r>
              <w:rPr>
                <w:rFonts w:hint="eastAsia" w:ascii="新宋体" w:hAnsi="新宋体" w:eastAsia="新宋体" w:cs="新宋体"/>
                <w:spacing w:val="0"/>
                <w:sz w:val="22"/>
                <w:szCs w:val="22"/>
              </w:rPr>
              <w:t>项目名称</w:t>
            </w:r>
          </w:p>
        </w:tc>
        <w:tc>
          <w:tcPr>
            <w:tcW w:w="1272" w:type="dxa"/>
            <w:vAlign w:val="center"/>
          </w:tcPr>
          <w:p>
            <w:pPr>
              <w:pStyle w:val="2"/>
              <w:spacing w:line="360" w:lineRule="auto"/>
              <w:ind w:firstLine="0"/>
              <w:jc w:val="center"/>
              <w:rPr>
                <w:rFonts w:ascii="新宋体" w:hAnsi="新宋体" w:eastAsia="新宋体" w:cs="新宋体"/>
                <w:spacing w:val="0"/>
                <w:sz w:val="22"/>
                <w:szCs w:val="22"/>
              </w:rPr>
            </w:pPr>
            <w:r>
              <w:rPr>
                <w:rFonts w:hint="eastAsia" w:ascii="新宋体" w:hAnsi="新宋体" w:eastAsia="新宋体" w:cs="新宋体"/>
                <w:spacing w:val="0"/>
                <w:sz w:val="22"/>
                <w:szCs w:val="22"/>
              </w:rPr>
              <w:t>服务期</w:t>
            </w:r>
          </w:p>
        </w:tc>
        <w:tc>
          <w:tcPr>
            <w:tcW w:w="1813" w:type="dxa"/>
            <w:vAlign w:val="center"/>
          </w:tcPr>
          <w:p>
            <w:pPr>
              <w:pStyle w:val="2"/>
              <w:spacing w:line="360" w:lineRule="auto"/>
              <w:ind w:firstLine="0"/>
              <w:jc w:val="center"/>
              <w:rPr>
                <w:rFonts w:ascii="新宋体" w:hAnsi="新宋体" w:eastAsia="新宋体" w:cs="新宋体"/>
                <w:spacing w:val="0"/>
                <w:sz w:val="22"/>
                <w:szCs w:val="22"/>
              </w:rPr>
            </w:pPr>
            <w:r>
              <w:rPr>
                <w:rFonts w:hint="eastAsia" w:ascii="新宋体" w:hAnsi="新宋体" w:eastAsia="新宋体" w:cs="新宋体"/>
                <w:spacing w:val="0"/>
                <w:sz w:val="22"/>
                <w:szCs w:val="22"/>
              </w:rPr>
              <w:t>预算金额</w:t>
            </w:r>
          </w:p>
        </w:tc>
        <w:tc>
          <w:tcPr>
            <w:tcW w:w="1276" w:type="dxa"/>
            <w:vAlign w:val="center"/>
          </w:tcPr>
          <w:p>
            <w:pPr>
              <w:pStyle w:val="2"/>
              <w:spacing w:line="360" w:lineRule="auto"/>
              <w:ind w:firstLine="0"/>
              <w:jc w:val="center"/>
              <w:rPr>
                <w:rFonts w:ascii="新宋体" w:hAnsi="新宋体" w:eastAsia="新宋体" w:cs="新宋体"/>
                <w:spacing w:val="0"/>
                <w:sz w:val="22"/>
                <w:szCs w:val="22"/>
              </w:rPr>
            </w:pPr>
            <w:r>
              <w:rPr>
                <w:rFonts w:hint="eastAsia" w:ascii="新宋体" w:hAnsi="新宋体" w:eastAsia="新宋体" w:cs="新宋体"/>
                <w:spacing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5" w:type="dxa"/>
            <w:vAlign w:val="center"/>
          </w:tcPr>
          <w:p>
            <w:pPr>
              <w:pStyle w:val="2"/>
              <w:spacing w:line="360" w:lineRule="auto"/>
              <w:ind w:firstLine="0"/>
              <w:jc w:val="center"/>
              <w:rPr>
                <w:rFonts w:ascii="新宋体" w:hAnsi="新宋体" w:eastAsia="新宋体" w:cs="新宋体"/>
                <w:spacing w:val="0"/>
                <w:sz w:val="22"/>
                <w:szCs w:val="22"/>
              </w:rPr>
            </w:pPr>
            <w:r>
              <w:rPr>
                <w:rFonts w:hint="eastAsia" w:ascii="新宋体" w:hAnsi="新宋体" w:eastAsia="新宋体" w:cs="新宋体"/>
                <w:spacing w:val="0"/>
                <w:sz w:val="22"/>
                <w:szCs w:val="22"/>
              </w:rPr>
              <w:t>标项1</w:t>
            </w:r>
          </w:p>
        </w:tc>
        <w:tc>
          <w:tcPr>
            <w:tcW w:w="3657" w:type="dxa"/>
            <w:vAlign w:val="center"/>
          </w:tcPr>
          <w:p>
            <w:pPr>
              <w:pStyle w:val="2"/>
              <w:spacing w:line="360" w:lineRule="auto"/>
              <w:ind w:firstLine="0"/>
              <w:jc w:val="center"/>
              <w:rPr>
                <w:rFonts w:ascii="新宋体" w:hAnsi="新宋体" w:eastAsia="新宋体" w:cs="新宋体"/>
                <w:spacing w:val="0"/>
                <w:sz w:val="22"/>
                <w:szCs w:val="22"/>
                <w:lang w:val="en-GB"/>
              </w:rPr>
            </w:pPr>
            <w:r>
              <w:rPr>
                <w:rFonts w:hint="eastAsia" w:ascii="新宋体" w:hAnsi="新宋体" w:eastAsia="新宋体" w:cs="新宋体"/>
                <w:spacing w:val="0"/>
                <w:sz w:val="22"/>
                <w:szCs w:val="22"/>
              </w:rPr>
              <w:t>幽门螺旋杆菌检测外送服务）</w:t>
            </w:r>
          </w:p>
        </w:tc>
        <w:tc>
          <w:tcPr>
            <w:tcW w:w="1272" w:type="dxa"/>
            <w:vAlign w:val="center"/>
          </w:tcPr>
          <w:p>
            <w:pPr>
              <w:pStyle w:val="2"/>
              <w:spacing w:line="360" w:lineRule="auto"/>
              <w:ind w:firstLine="0"/>
              <w:jc w:val="center"/>
              <w:rPr>
                <w:rFonts w:ascii="新宋体" w:hAnsi="新宋体" w:eastAsia="新宋体" w:cs="新宋体"/>
                <w:spacing w:val="0"/>
                <w:sz w:val="22"/>
                <w:szCs w:val="22"/>
              </w:rPr>
            </w:pPr>
            <w:r>
              <w:rPr>
                <w:rFonts w:hint="eastAsia" w:ascii="新宋体" w:hAnsi="新宋体" w:eastAsia="新宋体" w:cs="新宋体"/>
                <w:spacing w:val="0"/>
                <w:sz w:val="22"/>
                <w:szCs w:val="22"/>
                <w:lang w:val="en-US" w:eastAsia="zh-CN"/>
              </w:rPr>
              <w:t>1+1+1</w:t>
            </w:r>
            <w:r>
              <w:rPr>
                <w:rFonts w:hint="eastAsia" w:ascii="新宋体" w:hAnsi="新宋体" w:eastAsia="新宋体" w:cs="新宋体"/>
                <w:spacing w:val="0"/>
                <w:sz w:val="22"/>
                <w:szCs w:val="22"/>
              </w:rPr>
              <w:t>年</w:t>
            </w:r>
          </w:p>
        </w:tc>
        <w:tc>
          <w:tcPr>
            <w:tcW w:w="1813" w:type="dxa"/>
            <w:vAlign w:val="center"/>
          </w:tcPr>
          <w:p>
            <w:pPr>
              <w:pStyle w:val="2"/>
              <w:spacing w:line="360" w:lineRule="auto"/>
              <w:ind w:firstLine="0"/>
              <w:jc w:val="center"/>
              <w:rPr>
                <w:rFonts w:ascii="新宋体" w:hAnsi="新宋体" w:eastAsia="新宋体" w:cs="新宋体"/>
                <w:spacing w:val="0"/>
                <w:sz w:val="22"/>
                <w:szCs w:val="22"/>
              </w:rPr>
            </w:pPr>
            <w:r>
              <w:rPr>
                <w:rFonts w:hint="eastAsia" w:hAnsi="新宋体" w:eastAsia="新宋体" w:cs="新宋体"/>
                <w:spacing w:val="0"/>
                <w:sz w:val="22"/>
                <w:szCs w:val="22"/>
                <w:lang w:val="en-US" w:eastAsia="zh-CN"/>
              </w:rPr>
              <w:t>8</w:t>
            </w:r>
            <w:r>
              <w:rPr>
                <w:rFonts w:hint="eastAsia" w:ascii="新宋体" w:hAnsi="新宋体" w:eastAsia="新宋体" w:cs="新宋体"/>
                <w:spacing w:val="0"/>
                <w:sz w:val="22"/>
                <w:szCs w:val="22"/>
              </w:rPr>
              <w:t>万/一年</w:t>
            </w:r>
          </w:p>
        </w:tc>
        <w:tc>
          <w:tcPr>
            <w:tcW w:w="1276" w:type="dxa"/>
            <w:vAlign w:val="center"/>
          </w:tcPr>
          <w:p>
            <w:pPr>
              <w:pStyle w:val="2"/>
              <w:spacing w:line="360" w:lineRule="auto"/>
              <w:ind w:firstLine="0"/>
              <w:jc w:val="center"/>
              <w:rPr>
                <w:rFonts w:ascii="新宋体" w:hAnsi="新宋体" w:eastAsia="新宋体" w:cs="新宋体"/>
                <w:spacing w:val="0"/>
                <w:sz w:val="22"/>
                <w:szCs w:val="22"/>
              </w:rPr>
            </w:pPr>
          </w:p>
        </w:tc>
      </w:tr>
    </w:tbl>
    <w:p>
      <w:pPr>
        <w:pStyle w:val="2"/>
        <w:spacing w:line="360" w:lineRule="auto"/>
        <w:ind w:firstLine="0"/>
        <w:rPr>
          <w:rFonts w:ascii="新宋体" w:hAnsi="新宋体" w:eastAsia="新宋体" w:cs="新宋体"/>
          <w:spacing w:val="0"/>
          <w:sz w:val="22"/>
          <w:szCs w:val="22"/>
        </w:rPr>
      </w:pPr>
      <w:r>
        <w:rPr>
          <w:rFonts w:hint="eastAsia" w:ascii="新宋体" w:hAnsi="新宋体" w:eastAsia="新宋体" w:cs="新宋体"/>
          <w:spacing w:val="0"/>
          <w:sz w:val="22"/>
          <w:szCs w:val="22"/>
        </w:rPr>
        <w:t>服务期：合同签订之日起1+1</w:t>
      </w:r>
      <w:r>
        <w:rPr>
          <w:rFonts w:hint="eastAsia" w:ascii="新宋体" w:hAnsi="新宋体" w:eastAsia="新宋体" w:cs="新宋体"/>
          <w:spacing w:val="0"/>
          <w:sz w:val="22"/>
          <w:szCs w:val="22"/>
          <w:lang w:val="en-US" w:eastAsia="zh-CN"/>
        </w:rPr>
        <w:t>+1</w:t>
      </w:r>
      <w:r>
        <w:rPr>
          <w:rFonts w:hint="eastAsia" w:ascii="新宋体" w:hAnsi="新宋体" w:eastAsia="新宋体" w:cs="新宋体"/>
          <w:spacing w:val="0"/>
          <w:sz w:val="22"/>
          <w:szCs w:val="22"/>
        </w:rPr>
        <w:t>年，本项目的采购期为一年，在服务期满后，乙方服务令甲方满意，达到合同规定的各项要求，经甲乙双方协商后续约，续约最多不能超过</w:t>
      </w:r>
      <w:r>
        <w:rPr>
          <w:rFonts w:hint="eastAsia" w:ascii="新宋体" w:hAnsi="新宋体" w:eastAsia="新宋体" w:cs="新宋体"/>
          <w:spacing w:val="0"/>
          <w:sz w:val="22"/>
          <w:szCs w:val="22"/>
          <w:lang w:val="en-US" w:eastAsia="zh-CN"/>
        </w:rPr>
        <w:t>2</w:t>
      </w:r>
      <w:r>
        <w:rPr>
          <w:rFonts w:hint="eastAsia" w:ascii="新宋体" w:hAnsi="新宋体" w:eastAsia="新宋体" w:cs="新宋体"/>
          <w:spacing w:val="0"/>
          <w:sz w:val="22"/>
          <w:szCs w:val="22"/>
        </w:rPr>
        <w:t>年，甲方有续约的决定权。</w:t>
      </w:r>
    </w:p>
    <w:p>
      <w:pPr>
        <w:tabs>
          <w:tab w:val="left" w:pos="360"/>
        </w:tabs>
        <w:spacing w:line="460" w:lineRule="exact"/>
        <w:ind w:firstLine="552" w:firstLineChars="250"/>
        <w:rPr>
          <w:rFonts w:ascii="新宋体" w:hAnsi="新宋体" w:eastAsia="新宋体" w:cs="新宋体"/>
          <w:b/>
          <w:bCs/>
          <w:sz w:val="22"/>
          <w:szCs w:val="22"/>
        </w:rPr>
      </w:pPr>
      <w:r>
        <w:rPr>
          <w:rFonts w:hint="eastAsia" w:ascii="新宋体" w:hAnsi="新宋体" w:eastAsia="新宋体" w:cs="新宋体"/>
          <w:b/>
          <w:bCs/>
          <w:sz w:val="22"/>
          <w:szCs w:val="22"/>
        </w:rPr>
        <w:t>三、技术规格及配置</w:t>
      </w:r>
    </w:p>
    <w:p>
      <w:pPr>
        <w:tabs>
          <w:tab w:val="left" w:pos="360"/>
        </w:tabs>
        <w:spacing w:line="460" w:lineRule="exact"/>
        <w:ind w:firstLine="550" w:firstLineChars="250"/>
        <w:rPr>
          <w:rFonts w:ascii="新宋体" w:hAnsi="新宋体" w:eastAsia="新宋体" w:cs="新宋体"/>
          <w:sz w:val="22"/>
          <w:szCs w:val="22"/>
        </w:rPr>
      </w:pPr>
      <w:r>
        <w:rPr>
          <w:rFonts w:hint="eastAsia" w:ascii="新宋体" w:hAnsi="新宋体" w:eastAsia="新宋体" w:cs="新宋体"/>
          <w:sz w:val="22"/>
          <w:szCs w:val="22"/>
        </w:rPr>
        <w:t>1、委托外送检验项目清单如下：</w:t>
      </w:r>
    </w:p>
    <w:tbl>
      <w:tblPr>
        <w:tblStyle w:val="6"/>
        <w:tblW w:w="6154" w:type="dxa"/>
        <w:tblInd w:w="9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9"/>
        <w:gridCol w:w="3174"/>
        <w:gridCol w:w="22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769" w:type="dxa"/>
            <w:shd w:val="clear" w:color="auto" w:fill="auto"/>
            <w:vAlign w:val="center"/>
          </w:tcPr>
          <w:p>
            <w:pPr>
              <w:widowControl/>
              <w:jc w:val="center"/>
              <w:rPr>
                <w:kern w:val="0"/>
                <w:szCs w:val="21"/>
              </w:rPr>
            </w:pPr>
            <w:r>
              <w:rPr>
                <w:kern w:val="0"/>
                <w:szCs w:val="21"/>
              </w:rPr>
              <w:t>序号</w:t>
            </w:r>
          </w:p>
        </w:tc>
        <w:tc>
          <w:tcPr>
            <w:tcW w:w="3174" w:type="dxa"/>
            <w:shd w:val="clear" w:color="auto" w:fill="auto"/>
            <w:vAlign w:val="center"/>
          </w:tcPr>
          <w:p>
            <w:pPr>
              <w:widowControl/>
              <w:jc w:val="center"/>
              <w:rPr>
                <w:kern w:val="0"/>
                <w:szCs w:val="21"/>
              </w:rPr>
            </w:pPr>
            <w:r>
              <w:rPr>
                <w:kern w:val="0"/>
                <w:szCs w:val="21"/>
              </w:rPr>
              <w:t>项目</w:t>
            </w:r>
          </w:p>
        </w:tc>
        <w:tc>
          <w:tcPr>
            <w:tcW w:w="2211" w:type="dxa"/>
            <w:shd w:val="clear" w:color="auto" w:fill="FFFFFF"/>
            <w:vAlign w:val="center"/>
          </w:tcPr>
          <w:p>
            <w:pPr>
              <w:spacing w:line="440" w:lineRule="exact"/>
              <w:jc w:val="center"/>
              <w:rPr>
                <w:kern w:val="0"/>
                <w:szCs w:val="21"/>
              </w:rPr>
            </w:pPr>
            <w:r>
              <w:rPr>
                <w:rFonts w:hint="eastAsia" w:ascii="新宋体" w:hAnsi="新宋体" w:eastAsia="新宋体" w:cs="新宋体"/>
                <w:sz w:val="22"/>
                <w:szCs w:val="22"/>
              </w:rPr>
              <w:t>目前收费标准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769" w:type="dxa"/>
            <w:shd w:val="clear" w:color="auto" w:fill="FFFFFF"/>
            <w:vAlign w:val="center"/>
          </w:tcPr>
          <w:p>
            <w:pPr>
              <w:spacing w:line="440" w:lineRule="exact"/>
              <w:jc w:val="center"/>
              <w:rPr>
                <w:b/>
                <w:bCs/>
                <w:kern w:val="0"/>
                <w:szCs w:val="21"/>
              </w:rPr>
            </w:pPr>
            <w:r>
              <w:rPr>
                <w:rFonts w:hint="eastAsia" w:ascii="新宋体" w:hAnsi="新宋体" w:eastAsia="新宋体" w:cs="新宋体"/>
                <w:sz w:val="22"/>
                <w:szCs w:val="22"/>
              </w:rPr>
              <w:t>1</w:t>
            </w:r>
          </w:p>
        </w:tc>
        <w:tc>
          <w:tcPr>
            <w:tcW w:w="3174" w:type="dxa"/>
            <w:shd w:val="clear" w:color="auto" w:fill="auto"/>
            <w:vAlign w:val="center"/>
          </w:tcPr>
          <w:p>
            <w:pPr>
              <w:widowControl/>
              <w:jc w:val="center"/>
              <w:rPr>
                <w:kern w:val="0"/>
                <w:szCs w:val="21"/>
              </w:rPr>
            </w:pPr>
            <w:r>
              <w:rPr>
                <w:rFonts w:hint="eastAsia" w:ascii="宋体" w:hAnsi="宋体" w:cs="宋体"/>
                <w:color w:val="000000"/>
                <w:kern w:val="0"/>
                <w:sz w:val="24"/>
              </w:rPr>
              <w:t>幽门螺旋杆菌培养及鉴定</w:t>
            </w:r>
          </w:p>
        </w:tc>
        <w:tc>
          <w:tcPr>
            <w:tcW w:w="2211" w:type="dxa"/>
            <w:shd w:val="clear" w:color="auto" w:fill="FFFFFF"/>
            <w:vAlign w:val="center"/>
          </w:tcPr>
          <w:p>
            <w:pPr>
              <w:spacing w:line="440" w:lineRule="exact"/>
              <w:jc w:val="center"/>
              <w:rPr>
                <w:b/>
                <w:bCs/>
                <w:kern w:val="0"/>
                <w:szCs w:val="21"/>
              </w:rPr>
            </w:pPr>
            <w:r>
              <w:rPr>
                <w:rFonts w:hint="eastAsia" w:ascii="新宋体" w:hAnsi="新宋体" w:eastAsia="新宋体" w:cs="新宋体"/>
                <w:sz w:val="22"/>
                <w:szCs w:val="22"/>
              </w:rPr>
              <w:t>60元/</w:t>
            </w:r>
            <w:r>
              <w:rPr>
                <w:rFonts w:ascii="新宋体" w:hAnsi="新宋体" w:cs="新宋体"/>
                <w:sz w:val="22"/>
                <w:szCs w:val="22"/>
              </w:rPr>
              <w:t>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769" w:type="dxa"/>
            <w:shd w:val="clear" w:color="auto" w:fill="FFFFFF"/>
            <w:vAlign w:val="center"/>
          </w:tcPr>
          <w:p>
            <w:pPr>
              <w:spacing w:line="440" w:lineRule="exact"/>
              <w:jc w:val="center"/>
              <w:rPr>
                <w:rFonts w:ascii="新宋体" w:hAnsi="新宋体" w:eastAsia="新宋体" w:cs="新宋体"/>
                <w:sz w:val="22"/>
                <w:szCs w:val="22"/>
              </w:rPr>
            </w:pPr>
            <w:r>
              <w:rPr>
                <w:rFonts w:hint="eastAsia" w:ascii="新宋体" w:hAnsi="新宋体" w:eastAsia="新宋体" w:cs="新宋体"/>
                <w:sz w:val="22"/>
                <w:szCs w:val="22"/>
              </w:rPr>
              <w:t>2</w:t>
            </w:r>
          </w:p>
        </w:tc>
        <w:tc>
          <w:tcPr>
            <w:tcW w:w="3174" w:type="dxa"/>
            <w:shd w:val="clear" w:color="auto" w:fill="auto"/>
            <w:vAlign w:val="center"/>
          </w:tcPr>
          <w:p>
            <w:pPr>
              <w:widowControl/>
              <w:jc w:val="center"/>
              <w:rPr>
                <w:rFonts w:ascii="新宋体" w:hAnsi="新宋体" w:eastAsia="新宋体" w:cs="新宋体"/>
                <w:sz w:val="22"/>
                <w:szCs w:val="22"/>
              </w:rPr>
            </w:pPr>
            <w:r>
              <w:rPr>
                <w:rFonts w:hint="eastAsia" w:ascii="新宋体" w:hAnsi="新宋体" w:eastAsia="新宋体" w:cs="新宋体"/>
                <w:sz w:val="22"/>
                <w:szCs w:val="22"/>
              </w:rPr>
              <w:t>抗生素最小抑杀菌浓度测定</w:t>
            </w:r>
          </w:p>
        </w:tc>
        <w:tc>
          <w:tcPr>
            <w:tcW w:w="2211" w:type="dxa"/>
            <w:shd w:val="clear" w:color="auto" w:fill="FFFFFF"/>
            <w:vAlign w:val="center"/>
          </w:tcPr>
          <w:p>
            <w:pPr>
              <w:spacing w:line="440" w:lineRule="exact"/>
              <w:jc w:val="center"/>
              <w:rPr>
                <w:rFonts w:ascii="新宋体" w:hAnsi="新宋体" w:eastAsia="新宋体" w:cs="新宋体"/>
                <w:sz w:val="22"/>
                <w:szCs w:val="22"/>
              </w:rPr>
            </w:pPr>
            <w:r>
              <w:rPr>
                <w:rFonts w:hint="eastAsia" w:ascii="新宋体" w:hAnsi="新宋体" w:eastAsia="新宋体" w:cs="新宋体"/>
                <w:sz w:val="22"/>
                <w:szCs w:val="22"/>
              </w:rPr>
              <w:t>50元/</w:t>
            </w:r>
            <w:r>
              <w:rPr>
                <w:rFonts w:ascii="新宋体" w:hAnsi="新宋体" w:eastAsia="新宋体" w:cs="新宋体"/>
                <w:sz w:val="22"/>
                <w:szCs w:val="22"/>
              </w:rPr>
              <w:t>项</w:t>
            </w:r>
          </w:p>
        </w:tc>
      </w:tr>
    </w:tbl>
    <w:p>
      <w:pPr>
        <w:tabs>
          <w:tab w:val="left" w:pos="360"/>
        </w:tabs>
        <w:spacing w:line="460" w:lineRule="exact"/>
        <w:ind w:firstLine="550" w:firstLineChars="250"/>
        <w:rPr>
          <w:rFonts w:ascii="新宋体" w:hAnsi="新宋体" w:eastAsia="新宋体" w:cs="新宋体"/>
          <w:sz w:val="22"/>
          <w:szCs w:val="22"/>
        </w:rPr>
      </w:pPr>
      <w:r>
        <w:rPr>
          <w:rFonts w:hint="eastAsia" w:ascii="新宋体" w:hAnsi="新宋体" w:eastAsia="新宋体" w:cs="新宋体"/>
          <w:sz w:val="22"/>
          <w:szCs w:val="22"/>
        </w:rPr>
        <w:t>2、服务要求</w:t>
      </w:r>
    </w:p>
    <w:tbl>
      <w:tblPr>
        <w:tblStyle w:val="6"/>
        <w:tblpPr w:leftFromText="180" w:rightFromText="180" w:vertAnchor="text" w:horzAnchor="page" w:tblpX="1292" w:tblpY="176"/>
        <w:tblOverlap w:val="never"/>
        <w:tblW w:w="93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9"/>
        <w:gridCol w:w="7366"/>
        <w:gridCol w:w="10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899" w:type="dxa"/>
            <w:vAlign w:val="center"/>
          </w:tcPr>
          <w:p>
            <w:pPr>
              <w:widowControl/>
              <w:jc w:val="center"/>
              <w:rPr>
                <w:kern w:val="0"/>
                <w:szCs w:val="21"/>
              </w:rPr>
            </w:pPr>
            <w:r>
              <w:rPr>
                <w:rFonts w:hint="eastAsia"/>
                <w:kern w:val="0"/>
                <w:szCs w:val="21"/>
              </w:rPr>
              <w:t>序号</w:t>
            </w:r>
          </w:p>
        </w:tc>
        <w:tc>
          <w:tcPr>
            <w:tcW w:w="7366" w:type="dxa"/>
          </w:tcPr>
          <w:p>
            <w:pPr>
              <w:widowControl/>
              <w:jc w:val="left"/>
              <w:rPr>
                <w:kern w:val="0"/>
                <w:szCs w:val="21"/>
              </w:rPr>
            </w:pPr>
            <w:r>
              <w:rPr>
                <w:rFonts w:hint="eastAsia"/>
                <w:kern w:val="0"/>
                <w:szCs w:val="21"/>
              </w:rPr>
              <w:t>招标要求</w:t>
            </w:r>
          </w:p>
        </w:tc>
        <w:tc>
          <w:tcPr>
            <w:tcW w:w="1039" w:type="dxa"/>
          </w:tcPr>
          <w:p>
            <w:pPr>
              <w:widowControl/>
              <w:jc w:val="left"/>
              <w:rPr>
                <w:kern w:val="0"/>
                <w:szCs w:val="21"/>
              </w:rPr>
            </w:pPr>
            <w:r>
              <w:rPr>
                <w:rFonts w:hint="eastAsia"/>
                <w:kern w:val="0"/>
                <w:szCs w:val="21"/>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9" w:type="dxa"/>
            <w:vAlign w:val="center"/>
          </w:tcPr>
          <w:p>
            <w:pPr>
              <w:widowControl/>
              <w:jc w:val="center"/>
              <w:rPr>
                <w:kern w:val="0"/>
                <w:szCs w:val="21"/>
              </w:rPr>
            </w:pPr>
            <w:r>
              <w:rPr>
                <w:rFonts w:hint="eastAsia"/>
                <w:kern w:val="0"/>
                <w:szCs w:val="21"/>
              </w:rPr>
              <w:t>1</w:t>
            </w:r>
          </w:p>
        </w:tc>
        <w:tc>
          <w:tcPr>
            <w:tcW w:w="7366" w:type="dxa"/>
          </w:tcPr>
          <w:p>
            <w:pPr>
              <w:widowControl/>
              <w:jc w:val="left"/>
              <w:rPr>
                <w:kern w:val="0"/>
                <w:szCs w:val="21"/>
              </w:rPr>
            </w:pPr>
            <w:r>
              <w:rPr>
                <w:rFonts w:hint="eastAsia" w:ascii="新宋体" w:hAnsi="新宋体" w:eastAsia="新宋体" w:cs="新宋体"/>
                <w:sz w:val="22"/>
                <w:szCs w:val="22"/>
              </w:rPr>
              <w:t>转运标本种类：</w:t>
            </w:r>
            <w:r>
              <w:rPr>
                <w:rFonts w:ascii="新宋体" w:hAnsi="新宋体" w:eastAsia="新宋体" w:cs="新宋体"/>
                <w:sz w:val="22"/>
                <w:szCs w:val="22"/>
              </w:rPr>
              <w:t>胃黏膜组织标本</w:t>
            </w:r>
            <w:r>
              <w:rPr>
                <w:kern w:val="0"/>
                <w:szCs w:val="21"/>
              </w:rPr>
              <w:t xml:space="preserve"> </w:t>
            </w:r>
            <w:r>
              <w:rPr>
                <w:rFonts w:hint="eastAsia"/>
                <w:kern w:val="0"/>
                <w:szCs w:val="21"/>
              </w:rPr>
              <w:t>。</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9" w:type="dxa"/>
            <w:vAlign w:val="center"/>
          </w:tcPr>
          <w:p>
            <w:pPr>
              <w:widowControl/>
              <w:jc w:val="center"/>
              <w:rPr>
                <w:sz w:val="24"/>
                <w:u w:val="single"/>
              </w:rPr>
            </w:pPr>
            <w:r>
              <w:rPr>
                <w:rFonts w:hint="eastAsia"/>
                <w:sz w:val="24"/>
              </w:rPr>
              <w:t>2</w:t>
            </w:r>
          </w:p>
        </w:tc>
        <w:tc>
          <w:tcPr>
            <w:tcW w:w="7366" w:type="dxa"/>
          </w:tcPr>
          <w:p>
            <w:pPr>
              <w:widowControl/>
              <w:jc w:val="left"/>
              <w:rPr>
                <w:kern w:val="0"/>
                <w:szCs w:val="21"/>
              </w:rPr>
            </w:pPr>
            <w:r>
              <w:rPr>
                <w:rFonts w:hint="eastAsia"/>
                <w:kern w:val="0"/>
                <w:szCs w:val="21"/>
              </w:rPr>
              <w:t>标本需每日上门收取，正常情况</w:t>
            </w:r>
            <w:r>
              <w:rPr>
                <w:sz w:val="24"/>
              </w:rPr>
              <w:t>8日内向本院内镜中心出具检验报告</w:t>
            </w:r>
            <w:r>
              <w:rPr>
                <w:rFonts w:hint="eastAsia"/>
                <w:kern w:val="0"/>
                <w:szCs w:val="21"/>
              </w:rPr>
              <w:t>，特殊情况适当延长报告时间，但最多不得超过1</w:t>
            </w:r>
            <w:r>
              <w:rPr>
                <w:kern w:val="0"/>
                <w:szCs w:val="21"/>
              </w:rPr>
              <w:t>4</w:t>
            </w:r>
            <w:r>
              <w:rPr>
                <w:rFonts w:hint="eastAsia"/>
                <w:kern w:val="0"/>
                <w:szCs w:val="21"/>
              </w:rPr>
              <w:t>个工作日。</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9" w:type="dxa"/>
            <w:vAlign w:val="center"/>
          </w:tcPr>
          <w:p>
            <w:pPr>
              <w:widowControl/>
              <w:jc w:val="center"/>
              <w:rPr>
                <w:sz w:val="24"/>
              </w:rPr>
            </w:pPr>
            <w:r>
              <w:rPr>
                <w:rFonts w:hint="eastAsia"/>
                <w:sz w:val="24"/>
              </w:rPr>
              <w:t>3</w:t>
            </w:r>
          </w:p>
        </w:tc>
        <w:tc>
          <w:tcPr>
            <w:tcW w:w="7366" w:type="dxa"/>
          </w:tcPr>
          <w:p>
            <w:pPr>
              <w:widowControl/>
              <w:jc w:val="left"/>
              <w:rPr>
                <w:kern w:val="0"/>
                <w:szCs w:val="21"/>
              </w:rPr>
            </w:pPr>
            <w:r>
              <w:rPr>
                <w:rFonts w:hint="eastAsia"/>
                <w:kern w:val="0"/>
                <w:szCs w:val="21"/>
              </w:rPr>
              <w:t>报告系统与医院LIS系统对接，</w:t>
            </w:r>
            <w:r>
              <w:rPr>
                <w:rFonts w:hint="eastAsia" w:ascii="新宋体" w:hAnsi="新宋体" w:eastAsia="新宋体"/>
                <w:szCs w:val="21"/>
              </w:rPr>
              <w:t>中标人承担LIS联网费用</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9" w:type="dxa"/>
            <w:vAlign w:val="center"/>
          </w:tcPr>
          <w:p>
            <w:pPr>
              <w:widowControl/>
              <w:jc w:val="center"/>
              <w:rPr>
                <w:sz w:val="24"/>
              </w:rPr>
            </w:pPr>
            <w:r>
              <w:rPr>
                <w:rFonts w:hint="eastAsia"/>
                <w:sz w:val="24"/>
              </w:rPr>
              <w:t>4</w:t>
            </w:r>
          </w:p>
        </w:tc>
        <w:tc>
          <w:tcPr>
            <w:tcW w:w="7366" w:type="dxa"/>
          </w:tcPr>
          <w:p>
            <w:pPr>
              <w:widowControl/>
              <w:jc w:val="left"/>
              <w:rPr>
                <w:kern w:val="0"/>
                <w:szCs w:val="21"/>
              </w:rPr>
            </w:pPr>
            <w:r>
              <w:rPr>
                <w:rFonts w:hint="eastAsia"/>
                <w:kern w:val="0"/>
                <w:szCs w:val="21"/>
              </w:rPr>
              <w:t>可完成幽门螺旋杆菌培养及鉴定、抗生素最小抑杀菌浓度测定。</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9" w:type="dxa"/>
            <w:vAlign w:val="center"/>
          </w:tcPr>
          <w:p>
            <w:pPr>
              <w:widowControl/>
              <w:jc w:val="center"/>
              <w:rPr>
                <w:sz w:val="24"/>
                <w:u w:val="single"/>
              </w:rPr>
            </w:pPr>
            <w:r>
              <w:rPr>
                <w:rFonts w:hint="eastAsia"/>
                <w:sz w:val="24"/>
              </w:rPr>
              <w:t>5</w:t>
            </w:r>
          </w:p>
        </w:tc>
        <w:tc>
          <w:tcPr>
            <w:tcW w:w="7366" w:type="dxa"/>
          </w:tcPr>
          <w:p>
            <w:pPr>
              <w:pStyle w:val="11"/>
              <w:widowControl w:val="0"/>
              <w:spacing w:line="300" w:lineRule="exact"/>
              <w:ind w:left="0" w:firstLine="0"/>
              <w:rPr>
                <w:rFonts w:ascii="Times New Roman" w:hAnsi="Times New Roman"/>
                <w:sz w:val="21"/>
                <w:szCs w:val="21"/>
                <w:lang w:eastAsia="zh-CN" w:bidi="ar-SA"/>
              </w:rPr>
            </w:pPr>
            <w:r>
              <w:rPr>
                <w:rFonts w:hint="eastAsia" w:ascii="Times New Roman" w:hAnsi="Times New Roman"/>
                <w:sz w:val="21"/>
                <w:szCs w:val="21"/>
                <w:lang w:eastAsia="zh-CN" w:bidi="ar-SA"/>
              </w:rPr>
              <w:t>幽门螺杆菌培养、鉴定方法：胃黏膜组织微需氧固体培养（三气培养），菌株鉴定为形态学、三酶生化反应及/或特异性基因鉴定。</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9" w:type="dxa"/>
            <w:vAlign w:val="center"/>
          </w:tcPr>
          <w:p>
            <w:pPr>
              <w:widowControl/>
              <w:jc w:val="center"/>
              <w:rPr>
                <w:sz w:val="24"/>
                <w:u w:val="single"/>
              </w:rPr>
            </w:pPr>
            <w:r>
              <w:rPr>
                <w:rFonts w:hint="eastAsia"/>
                <w:sz w:val="24"/>
              </w:rPr>
              <w:t>6</w:t>
            </w:r>
          </w:p>
        </w:tc>
        <w:tc>
          <w:tcPr>
            <w:tcW w:w="7366" w:type="dxa"/>
          </w:tcPr>
          <w:p>
            <w:pPr>
              <w:widowControl/>
              <w:jc w:val="left"/>
              <w:rPr>
                <w:kern w:val="0"/>
                <w:szCs w:val="21"/>
              </w:rPr>
            </w:pPr>
            <w:r>
              <w:rPr>
                <w:rFonts w:hint="eastAsia"/>
                <w:kern w:val="0"/>
                <w:szCs w:val="21"/>
              </w:rPr>
              <w:t>药敏试验为琼脂平板稀释法</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9" w:type="dxa"/>
            <w:vAlign w:val="center"/>
          </w:tcPr>
          <w:p>
            <w:pPr>
              <w:widowControl/>
              <w:jc w:val="center"/>
              <w:rPr>
                <w:sz w:val="24"/>
              </w:rPr>
            </w:pPr>
            <w:r>
              <w:rPr>
                <w:rFonts w:hint="eastAsia"/>
                <w:sz w:val="24"/>
              </w:rPr>
              <w:t>7</w:t>
            </w:r>
          </w:p>
        </w:tc>
        <w:tc>
          <w:tcPr>
            <w:tcW w:w="7366" w:type="dxa"/>
          </w:tcPr>
          <w:p>
            <w:pPr>
              <w:widowControl/>
              <w:jc w:val="left"/>
              <w:rPr>
                <w:rFonts w:ascii="宋体" w:hAnsi="宋体" w:cs="宋体"/>
                <w:color w:val="000000"/>
                <w:kern w:val="0"/>
                <w:szCs w:val="21"/>
              </w:rPr>
            </w:pPr>
            <w:r>
              <w:rPr>
                <w:rFonts w:hint="eastAsia"/>
                <w:kern w:val="0"/>
                <w:szCs w:val="21"/>
              </w:rPr>
              <w:t>投标人负责胃黏膜组织标本的保存和运输</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9" w:type="dxa"/>
            <w:vAlign w:val="center"/>
          </w:tcPr>
          <w:p>
            <w:pPr>
              <w:widowControl/>
              <w:jc w:val="center"/>
              <w:rPr>
                <w:sz w:val="24"/>
              </w:rPr>
            </w:pPr>
            <w:r>
              <w:rPr>
                <w:rFonts w:hint="eastAsia"/>
                <w:sz w:val="24"/>
              </w:rPr>
              <w:t>8</w:t>
            </w:r>
          </w:p>
        </w:tc>
        <w:tc>
          <w:tcPr>
            <w:tcW w:w="7366" w:type="dxa"/>
          </w:tcPr>
          <w:p>
            <w:pPr>
              <w:widowControl/>
              <w:jc w:val="left"/>
              <w:rPr>
                <w:kern w:val="0"/>
                <w:szCs w:val="21"/>
              </w:rPr>
            </w:pPr>
            <w:r>
              <w:rPr>
                <w:rFonts w:hint="eastAsia"/>
                <w:kern w:val="0"/>
                <w:szCs w:val="21"/>
              </w:rPr>
              <w:t>胃黏膜组织标本，需置于保存液内，低温保存，标本的运输全程采用干冰保存运送，运送过程禁止反复冻融。</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99" w:type="dxa"/>
            <w:vAlign w:val="center"/>
          </w:tcPr>
          <w:p>
            <w:pPr>
              <w:widowControl/>
              <w:jc w:val="center"/>
              <w:rPr>
                <w:sz w:val="24"/>
              </w:rPr>
            </w:pPr>
            <w:r>
              <w:rPr>
                <w:rFonts w:hint="eastAsia"/>
                <w:sz w:val="24"/>
              </w:rPr>
              <w:t>9</w:t>
            </w:r>
          </w:p>
        </w:tc>
        <w:tc>
          <w:tcPr>
            <w:tcW w:w="7366" w:type="dxa"/>
          </w:tcPr>
          <w:p>
            <w:pPr>
              <w:widowControl/>
              <w:jc w:val="left"/>
              <w:rPr>
                <w:sz w:val="24"/>
              </w:rPr>
            </w:pPr>
            <w:r>
              <w:rPr>
                <w:rFonts w:hint="eastAsia"/>
                <w:kern w:val="0"/>
                <w:szCs w:val="21"/>
              </w:rPr>
              <w:t>结果的准确性：对结果有明显差异的，要求进行评价实验。中标方对检验结果负责，因检验结果问题引起的医疗纠纷，所有费用完全由中标方赔偿。</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3" w:hRule="atLeast"/>
        </w:trPr>
        <w:tc>
          <w:tcPr>
            <w:tcW w:w="899" w:type="dxa"/>
            <w:vAlign w:val="center"/>
          </w:tcPr>
          <w:p>
            <w:pPr>
              <w:widowControl/>
              <w:jc w:val="center"/>
              <w:rPr>
                <w:sz w:val="24"/>
              </w:rPr>
            </w:pPr>
            <w:r>
              <w:rPr>
                <w:rFonts w:hint="eastAsia"/>
                <w:sz w:val="24"/>
              </w:rPr>
              <w:t>10</w:t>
            </w:r>
          </w:p>
        </w:tc>
        <w:tc>
          <w:tcPr>
            <w:tcW w:w="7366" w:type="dxa"/>
          </w:tcPr>
          <w:p>
            <w:pPr>
              <w:widowControl/>
              <w:jc w:val="left"/>
              <w:rPr>
                <w:kern w:val="0"/>
                <w:szCs w:val="21"/>
              </w:rPr>
            </w:pPr>
            <w:r>
              <w:rPr>
                <w:rFonts w:hint="eastAsia"/>
                <w:kern w:val="0"/>
                <w:szCs w:val="21"/>
              </w:rPr>
              <w:t>评价实验方案：</w:t>
            </w:r>
          </w:p>
          <w:p>
            <w:pPr>
              <w:widowControl/>
              <w:jc w:val="left"/>
              <w:rPr>
                <w:kern w:val="0"/>
                <w:szCs w:val="21"/>
              </w:rPr>
            </w:pPr>
            <w:r>
              <w:rPr>
                <w:rFonts w:hint="eastAsia"/>
                <w:kern w:val="0"/>
                <w:szCs w:val="21"/>
              </w:rPr>
              <w:t>1、中标方提供评价实验的标本采集、运送、检验和委托鉴定、复核的所有费用；</w:t>
            </w:r>
          </w:p>
          <w:p>
            <w:pPr>
              <w:widowControl/>
              <w:jc w:val="left"/>
              <w:rPr>
                <w:kern w:val="0"/>
                <w:szCs w:val="21"/>
              </w:rPr>
            </w:pPr>
            <w:r>
              <w:rPr>
                <w:rFonts w:hint="eastAsia"/>
                <w:kern w:val="0"/>
                <w:szCs w:val="21"/>
              </w:rPr>
              <w:t>2、由本院内镜中心负责选择100例内镜检查病例，内镜检查前均检查</w:t>
            </w:r>
            <w:r>
              <w:rPr>
                <w:rFonts w:hint="eastAsia"/>
                <w:kern w:val="0"/>
                <w:szCs w:val="21"/>
                <w:vertAlign w:val="superscript"/>
              </w:rPr>
              <w:t>13</w:t>
            </w:r>
            <w:r>
              <w:rPr>
                <w:rFonts w:hint="eastAsia"/>
                <w:kern w:val="0"/>
                <w:szCs w:val="21"/>
              </w:rPr>
              <w:t>C尿素呼气试验，每个内镜检查病例，镜下胃窦标准部位平行采集两份组织胃黏膜组织标本，分别交由两家检验机构进行检测；</w:t>
            </w:r>
          </w:p>
          <w:p>
            <w:pPr>
              <w:widowControl/>
              <w:jc w:val="left"/>
              <w:rPr>
                <w:kern w:val="0"/>
                <w:szCs w:val="21"/>
              </w:rPr>
            </w:pPr>
            <w:r>
              <w:rPr>
                <w:rFonts w:hint="eastAsia"/>
                <w:kern w:val="0"/>
                <w:szCs w:val="21"/>
              </w:rPr>
              <w:t>3、内镜中心在内镜下采集组织标本时，同时进行平行样本的快速尿素酶试验；</w:t>
            </w:r>
          </w:p>
          <w:p>
            <w:pPr>
              <w:widowControl/>
              <w:jc w:val="left"/>
              <w:rPr>
                <w:kern w:val="0"/>
                <w:szCs w:val="21"/>
              </w:rPr>
            </w:pPr>
            <w:r>
              <w:rPr>
                <w:rFonts w:hint="eastAsia"/>
                <w:kern w:val="0"/>
                <w:szCs w:val="21"/>
              </w:rPr>
              <w:t>4、所有报告培养阳性的病例，均保存该病例分离出来的幽门螺杆菌株，完成100例评估样本检测工作后，一周内将所有报告培养阳性的幽门螺杆菌菌株提供给本院内镜中心；</w:t>
            </w:r>
          </w:p>
          <w:p>
            <w:pPr>
              <w:widowControl/>
              <w:jc w:val="left"/>
              <w:rPr>
                <w:kern w:val="0"/>
                <w:szCs w:val="21"/>
              </w:rPr>
            </w:pPr>
            <w:r>
              <w:rPr>
                <w:rFonts w:hint="eastAsia"/>
                <w:kern w:val="0"/>
                <w:szCs w:val="21"/>
              </w:rPr>
              <w:t>5、本院内镜中心委托国家权威单位，对该批幽门螺杆菌的鉴定和药敏试验结果进行复核；</w:t>
            </w:r>
          </w:p>
          <w:p>
            <w:pPr>
              <w:widowControl/>
              <w:jc w:val="left"/>
              <w:rPr>
                <w:kern w:val="0"/>
                <w:szCs w:val="21"/>
              </w:rPr>
            </w:pPr>
            <w:r>
              <w:rPr>
                <w:rFonts w:hint="eastAsia"/>
                <w:kern w:val="0"/>
                <w:szCs w:val="21"/>
              </w:rPr>
              <w:t>6、本院消化科，根据</w:t>
            </w:r>
            <w:r>
              <w:rPr>
                <w:kern w:val="0"/>
                <w:szCs w:val="21"/>
              </w:rPr>
              <w:t>药敏</w:t>
            </w:r>
            <w:r>
              <w:rPr>
                <w:rFonts w:hint="eastAsia"/>
                <w:kern w:val="0"/>
                <w:szCs w:val="21"/>
              </w:rPr>
              <w:t>检测结果按照“共识”意见给患者进行根除治疗，4周后</w:t>
            </w:r>
            <w:r>
              <w:rPr>
                <w:rFonts w:hint="eastAsia"/>
                <w:kern w:val="0"/>
                <w:szCs w:val="21"/>
                <w:vertAlign w:val="superscript"/>
              </w:rPr>
              <w:t>13</w:t>
            </w:r>
            <w:r>
              <w:rPr>
                <w:rFonts w:hint="eastAsia"/>
                <w:kern w:val="0"/>
                <w:szCs w:val="21"/>
              </w:rPr>
              <w:t>C尿素呼气试验随访根除效果。</w:t>
            </w:r>
          </w:p>
          <w:p>
            <w:pPr>
              <w:widowControl/>
              <w:jc w:val="left"/>
              <w:rPr>
                <w:sz w:val="24"/>
              </w:rPr>
            </w:pPr>
            <w:r>
              <w:rPr>
                <w:rFonts w:hint="eastAsia"/>
                <w:kern w:val="0"/>
                <w:szCs w:val="21"/>
              </w:rPr>
              <w:t>7、本次评估结果将进行公平、公正的对外公布。</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atLeast"/>
        </w:trPr>
        <w:tc>
          <w:tcPr>
            <w:tcW w:w="899" w:type="dxa"/>
            <w:vAlign w:val="center"/>
          </w:tcPr>
          <w:p>
            <w:pPr>
              <w:widowControl/>
              <w:ind w:firstLine="210" w:firstLineChars="100"/>
              <w:jc w:val="left"/>
              <w:rPr>
                <w:sz w:val="24"/>
              </w:rPr>
            </w:pPr>
            <w:r>
              <w:rPr>
                <w:rFonts w:hint="eastAsia"/>
                <w:kern w:val="0"/>
                <w:szCs w:val="21"/>
              </w:rPr>
              <w:t>11</w:t>
            </w:r>
          </w:p>
        </w:tc>
        <w:tc>
          <w:tcPr>
            <w:tcW w:w="7366" w:type="dxa"/>
          </w:tcPr>
          <w:p>
            <w:pPr>
              <w:widowControl/>
              <w:jc w:val="left"/>
              <w:rPr>
                <w:kern w:val="0"/>
                <w:szCs w:val="21"/>
              </w:rPr>
            </w:pPr>
            <w:r>
              <w:rPr>
                <w:rFonts w:hint="eastAsia"/>
                <w:kern w:val="0"/>
                <w:szCs w:val="21"/>
              </w:rPr>
              <w:t>临床评估指标：</w:t>
            </w:r>
          </w:p>
        </w:tc>
        <w:tc>
          <w:tcPr>
            <w:tcW w:w="1039" w:type="dxa"/>
          </w:tcPr>
          <w:p>
            <w:pPr>
              <w:widowControl/>
              <w:jc w:val="left"/>
              <w:rPr>
                <w:kern w:val="0"/>
                <w:szCs w:val="21"/>
              </w:rPr>
            </w:pPr>
            <w:r>
              <w:rPr>
                <w:rFonts w:hint="eastAsia"/>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899" w:type="dxa"/>
            <w:vAlign w:val="center"/>
          </w:tcPr>
          <w:p>
            <w:pPr>
              <w:widowControl/>
              <w:jc w:val="center"/>
              <w:rPr>
                <w:sz w:val="24"/>
              </w:rPr>
            </w:pPr>
            <w:r>
              <w:rPr>
                <w:rFonts w:hint="eastAsia"/>
                <w:sz w:val="24"/>
              </w:rPr>
              <w:t>11.1</w:t>
            </w:r>
          </w:p>
        </w:tc>
        <w:tc>
          <w:tcPr>
            <w:tcW w:w="7366" w:type="dxa"/>
          </w:tcPr>
          <w:p>
            <w:pPr>
              <w:widowControl/>
              <w:jc w:val="left"/>
              <w:rPr>
                <w:kern w:val="0"/>
                <w:szCs w:val="21"/>
              </w:rPr>
            </w:pPr>
            <w:r>
              <w:rPr>
                <w:rFonts w:hint="eastAsia"/>
                <w:kern w:val="0"/>
                <w:szCs w:val="21"/>
              </w:rPr>
              <w:t>培养阳性率：</w:t>
            </w:r>
            <w:r>
              <w:rPr>
                <w:rFonts w:hint="eastAsia"/>
                <w:kern w:val="0"/>
                <w:szCs w:val="21"/>
                <w:vertAlign w:val="superscript"/>
              </w:rPr>
              <w:t>13</w:t>
            </w:r>
            <w:r>
              <w:rPr>
                <w:rFonts w:hint="eastAsia"/>
                <w:kern w:val="0"/>
                <w:szCs w:val="21"/>
              </w:rPr>
              <w:t>C尿素呼气试验阳性患者，培养阳性率大于80%。快速尿素酶试验阳性患者，</w:t>
            </w:r>
            <w:r>
              <w:rPr>
                <w:kern w:val="0"/>
                <w:szCs w:val="21"/>
              </w:rPr>
              <w:t>平行采集黏膜组织标本HP</w:t>
            </w:r>
            <w:r>
              <w:rPr>
                <w:rFonts w:hint="eastAsia"/>
                <w:kern w:val="0"/>
                <w:szCs w:val="21"/>
              </w:rPr>
              <w:t>培养阳性率大于9</w:t>
            </w:r>
            <w:r>
              <w:rPr>
                <w:kern w:val="0"/>
                <w:szCs w:val="21"/>
              </w:rPr>
              <w:t>0</w:t>
            </w:r>
            <w:r>
              <w:rPr>
                <w:rFonts w:hint="eastAsia"/>
                <w:kern w:val="0"/>
                <w:szCs w:val="21"/>
              </w:rPr>
              <w:t>%。</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899" w:type="dxa"/>
            <w:vAlign w:val="center"/>
          </w:tcPr>
          <w:p>
            <w:pPr>
              <w:widowControl/>
              <w:jc w:val="center"/>
              <w:rPr>
                <w:sz w:val="24"/>
              </w:rPr>
            </w:pPr>
            <w:r>
              <w:rPr>
                <w:rFonts w:hint="eastAsia"/>
                <w:sz w:val="24"/>
              </w:rPr>
              <w:t>11.2</w:t>
            </w:r>
          </w:p>
        </w:tc>
        <w:tc>
          <w:tcPr>
            <w:tcW w:w="7366" w:type="dxa"/>
          </w:tcPr>
          <w:p>
            <w:pPr>
              <w:widowControl/>
              <w:jc w:val="left"/>
              <w:rPr>
                <w:kern w:val="0"/>
                <w:szCs w:val="21"/>
              </w:rPr>
            </w:pPr>
            <w:r>
              <w:rPr>
                <w:rFonts w:hint="eastAsia"/>
                <w:kern w:val="0"/>
                <w:szCs w:val="21"/>
              </w:rPr>
              <w:t>幽门螺杆菌菌株鉴定：准确率要求100%。</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899" w:type="dxa"/>
            <w:vAlign w:val="center"/>
          </w:tcPr>
          <w:p>
            <w:pPr>
              <w:widowControl/>
              <w:jc w:val="center"/>
              <w:rPr>
                <w:sz w:val="24"/>
              </w:rPr>
            </w:pPr>
            <w:r>
              <w:rPr>
                <w:rFonts w:hint="eastAsia"/>
                <w:sz w:val="24"/>
              </w:rPr>
              <w:t>11.3</w:t>
            </w:r>
          </w:p>
        </w:tc>
        <w:tc>
          <w:tcPr>
            <w:tcW w:w="7366" w:type="dxa"/>
          </w:tcPr>
          <w:p>
            <w:pPr>
              <w:widowControl/>
              <w:jc w:val="left"/>
              <w:rPr>
                <w:kern w:val="0"/>
                <w:szCs w:val="21"/>
              </w:rPr>
            </w:pPr>
            <w:r>
              <w:rPr>
                <w:rFonts w:hint="eastAsia"/>
                <w:kern w:val="0"/>
                <w:szCs w:val="21"/>
              </w:rPr>
              <w:t>药敏试验：与E-test检测结果比对，耐药或敏感结果总符合率大于95%，定量数值在2个倍比稀释度之内。</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899" w:type="dxa"/>
            <w:vAlign w:val="center"/>
          </w:tcPr>
          <w:p>
            <w:pPr>
              <w:widowControl/>
              <w:jc w:val="center"/>
              <w:rPr>
                <w:sz w:val="24"/>
              </w:rPr>
            </w:pPr>
            <w:r>
              <w:rPr>
                <w:rFonts w:hint="eastAsia"/>
                <w:sz w:val="24"/>
              </w:rPr>
              <w:t>11.4</w:t>
            </w:r>
          </w:p>
        </w:tc>
        <w:tc>
          <w:tcPr>
            <w:tcW w:w="7366" w:type="dxa"/>
          </w:tcPr>
          <w:p>
            <w:pPr>
              <w:widowControl/>
              <w:jc w:val="left"/>
              <w:rPr>
                <w:kern w:val="0"/>
                <w:szCs w:val="21"/>
              </w:rPr>
            </w:pPr>
            <w:r>
              <w:rPr>
                <w:rFonts w:hint="eastAsia"/>
                <w:kern w:val="0"/>
                <w:szCs w:val="21"/>
              </w:rPr>
              <w:t>标本若存在幽门螺杆菌混合感染，耐药菌检出比例最低值为5%。</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899" w:type="dxa"/>
            <w:vAlign w:val="center"/>
          </w:tcPr>
          <w:p>
            <w:pPr>
              <w:widowControl/>
              <w:jc w:val="center"/>
              <w:rPr>
                <w:sz w:val="24"/>
              </w:rPr>
            </w:pPr>
            <w:r>
              <w:rPr>
                <w:rFonts w:hint="eastAsia"/>
                <w:sz w:val="24"/>
              </w:rPr>
              <w:t>11.5</w:t>
            </w:r>
          </w:p>
        </w:tc>
        <w:tc>
          <w:tcPr>
            <w:tcW w:w="7366" w:type="dxa"/>
          </w:tcPr>
          <w:p>
            <w:pPr>
              <w:widowControl/>
              <w:jc w:val="left"/>
              <w:rPr>
                <w:kern w:val="0"/>
                <w:szCs w:val="21"/>
              </w:rPr>
            </w:pPr>
            <w:r>
              <w:rPr>
                <w:rFonts w:hint="eastAsia"/>
                <w:kern w:val="0"/>
                <w:szCs w:val="21"/>
              </w:rPr>
              <w:t>根据药敏结果的临床治疗效果评估：临床HP根除率大于90%。</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899" w:type="dxa"/>
            <w:vAlign w:val="center"/>
          </w:tcPr>
          <w:p>
            <w:pPr>
              <w:widowControl/>
              <w:jc w:val="center"/>
              <w:rPr>
                <w:sz w:val="24"/>
              </w:rPr>
            </w:pPr>
            <w:r>
              <w:rPr>
                <w:rFonts w:hint="eastAsia"/>
                <w:sz w:val="24"/>
              </w:rPr>
              <w:t>12</w:t>
            </w:r>
          </w:p>
        </w:tc>
        <w:tc>
          <w:tcPr>
            <w:tcW w:w="7366" w:type="dxa"/>
          </w:tcPr>
          <w:p>
            <w:pPr>
              <w:widowControl/>
              <w:jc w:val="left"/>
              <w:rPr>
                <w:kern w:val="0"/>
                <w:szCs w:val="21"/>
              </w:rPr>
            </w:pPr>
            <w:r>
              <w:rPr>
                <w:rFonts w:hint="eastAsia"/>
                <w:kern w:val="0"/>
                <w:szCs w:val="21"/>
              </w:rPr>
              <w:t>为保证消化内科学科建设的学术研究可持续性，检验机构必须保存并提供培养阳性的幽门螺杆菌菌株。</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899" w:type="dxa"/>
            <w:vAlign w:val="center"/>
          </w:tcPr>
          <w:p>
            <w:pPr>
              <w:widowControl/>
              <w:jc w:val="center"/>
              <w:rPr>
                <w:sz w:val="24"/>
              </w:rPr>
            </w:pPr>
            <w:r>
              <w:rPr>
                <w:rFonts w:hint="eastAsia"/>
                <w:sz w:val="24"/>
              </w:rPr>
              <w:t>13</w:t>
            </w:r>
          </w:p>
        </w:tc>
        <w:tc>
          <w:tcPr>
            <w:tcW w:w="7366" w:type="dxa"/>
          </w:tcPr>
          <w:p>
            <w:pPr>
              <w:widowControl/>
              <w:jc w:val="left"/>
              <w:rPr>
                <w:kern w:val="0"/>
                <w:szCs w:val="21"/>
              </w:rPr>
            </w:pPr>
            <w:r>
              <w:rPr>
                <w:rFonts w:hint="eastAsia"/>
                <w:kern w:val="0"/>
                <w:szCs w:val="21"/>
              </w:rPr>
              <w:t>考核要求：报告时间延迟半天扣检测服务费的50%，延迟一天检验单位收取的检测服务费全部扣除，如造成投诉纠纷需承担相应责任。五次以上延迟报告的，甲方有权利提前解除合同。</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899" w:type="dxa"/>
            <w:vAlign w:val="center"/>
          </w:tcPr>
          <w:p>
            <w:pPr>
              <w:widowControl/>
              <w:jc w:val="center"/>
              <w:rPr>
                <w:sz w:val="24"/>
              </w:rPr>
            </w:pPr>
            <w:r>
              <w:rPr>
                <w:rFonts w:hint="eastAsia"/>
                <w:sz w:val="24"/>
              </w:rPr>
              <w:t>14</w:t>
            </w:r>
          </w:p>
        </w:tc>
        <w:tc>
          <w:tcPr>
            <w:tcW w:w="7366" w:type="dxa"/>
          </w:tcPr>
          <w:p>
            <w:pPr>
              <w:widowControl/>
              <w:jc w:val="left"/>
              <w:rPr>
                <w:kern w:val="0"/>
                <w:szCs w:val="21"/>
              </w:rPr>
            </w:pPr>
            <w:r>
              <w:rPr>
                <w:szCs w:val="21"/>
              </w:rPr>
              <w:t>付款方式：</w:t>
            </w:r>
            <w:r>
              <w:rPr>
                <w:rFonts w:hint="eastAsia"/>
                <w:szCs w:val="21"/>
              </w:rPr>
              <w:t>发票开具</w:t>
            </w:r>
            <w:r>
              <w:rPr>
                <w:szCs w:val="21"/>
              </w:rPr>
              <w:t>后3个月内付款。合同签订后开展项目的</w:t>
            </w:r>
            <w:r>
              <w:rPr>
                <w:rFonts w:hint="eastAsia"/>
                <w:szCs w:val="21"/>
              </w:rPr>
              <w:t>业务</w:t>
            </w:r>
            <w:r>
              <w:rPr>
                <w:szCs w:val="21"/>
              </w:rPr>
              <w:t>量以</w:t>
            </w:r>
            <w:r>
              <w:rPr>
                <w:rFonts w:hint="eastAsia" w:ascii="新宋体" w:hAnsi="新宋体" w:eastAsia="新宋体" w:cs="新宋体"/>
                <w:sz w:val="22"/>
                <w:szCs w:val="22"/>
              </w:rPr>
              <w:t>检验科</w:t>
            </w:r>
            <w:r>
              <w:rPr>
                <w:rFonts w:hint="eastAsia"/>
                <w:szCs w:val="21"/>
              </w:rPr>
              <w:t>出具的报告数量</w:t>
            </w:r>
            <w:r>
              <w:rPr>
                <w:szCs w:val="21"/>
              </w:rPr>
              <w:t>为准，</w:t>
            </w:r>
            <w:r>
              <w:rPr>
                <w:rFonts w:hint="eastAsia"/>
                <w:szCs w:val="21"/>
              </w:rPr>
              <w:t>每个月结算一次。</w:t>
            </w:r>
            <w:r>
              <w:rPr>
                <w:rFonts w:hint="eastAsia" w:ascii="新宋体" w:hAnsi="新宋体" w:eastAsia="新宋体" w:cs="新宋体"/>
                <w:sz w:val="22"/>
                <w:szCs w:val="22"/>
              </w:rPr>
              <w:t>按中标的投标报价（折扣率）与收费标准及报告数量的乘积作为该月检测服务费用。</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899" w:type="dxa"/>
            <w:vAlign w:val="center"/>
          </w:tcPr>
          <w:p>
            <w:pPr>
              <w:widowControl/>
              <w:jc w:val="center"/>
              <w:rPr>
                <w:sz w:val="24"/>
              </w:rPr>
            </w:pPr>
            <w:r>
              <w:rPr>
                <w:rFonts w:hint="eastAsia"/>
                <w:sz w:val="24"/>
              </w:rPr>
              <w:t>15</w:t>
            </w:r>
          </w:p>
        </w:tc>
        <w:tc>
          <w:tcPr>
            <w:tcW w:w="7366" w:type="dxa"/>
          </w:tcPr>
          <w:p>
            <w:pPr>
              <w:widowControl/>
              <w:jc w:val="left"/>
              <w:rPr>
                <w:kern w:val="0"/>
                <w:szCs w:val="21"/>
              </w:rPr>
            </w:pPr>
            <w:r>
              <w:rPr>
                <w:rFonts w:hint="eastAsia"/>
                <w:kern w:val="0"/>
                <w:szCs w:val="21"/>
              </w:rPr>
              <w:t>合同签订后合作期1年或检测服务金额到</w:t>
            </w:r>
            <w:r>
              <w:rPr>
                <w:rFonts w:hint="eastAsia"/>
                <w:kern w:val="0"/>
                <w:szCs w:val="21"/>
                <w:lang w:val="en-US" w:eastAsia="zh-CN"/>
              </w:rPr>
              <w:t>8</w:t>
            </w:r>
            <w:r>
              <w:rPr>
                <w:rFonts w:hint="eastAsia"/>
                <w:kern w:val="0"/>
                <w:szCs w:val="21"/>
              </w:rPr>
              <w:t>万元，任一条件达到即视为合作期结束，合作期结束后根据医院需要，可延长1年合作期（每年采购金额上限为医院当年批复后的预算金额且不得高于第一年的合同金额，其他条件同第一年一样）</w:t>
            </w:r>
            <w:r>
              <w:rPr>
                <w:rFonts w:hint="eastAsia"/>
                <w:kern w:val="0"/>
                <w:szCs w:val="21"/>
                <w:lang w:val="en-US" w:eastAsia="zh-CN"/>
              </w:rPr>
              <w:t>,最多可延长2次。</w:t>
            </w:r>
            <w:bookmarkStart w:id="0" w:name="_GoBack"/>
            <w:bookmarkEnd w:id="0"/>
            <w:r>
              <w:rPr>
                <w:rFonts w:hint="eastAsia"/>
                <w:kern w:val="0"/>
                <w:szCs w:val="21"/>
              </w:rPr>
              <w:t>合作期内如遇政策性原因，导致合同无法履行，则合同自行终止。</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899" w:type="dxa"/>
            <w:vAlign w:val="center"/>
          </w:tcPr>
          <w:p>
            <w:pPr>
              <w:widowControl/>
              <w:jc w:val="center"/>
              <w:rPr>
                <w:sz w:val="24"/>
              </w:rPr>
            </w:pPr>
            <w:r>
              <w:rPr>
                <w:rFonts w:hint="eastAsia"/>
                <w:sz w:val="24"/>
              </w:rPr>
              <w:t>16</w:t>
            </w:r>
          </w:p>
        </w:tc>
        <w:tc>
          <w:tcPr>
            <w:tcW w:w="7366" w:type="dxa"/>
          </w:tcPr>
          <w:p>
            <w:pPr>
              <w:widowControl/>
              <w:jc w:val="left"/>
              <w:rPr>
                <w:kern w:val="0"/>
                <w:szCs w:val="21"/>
              </w:rPr>
            </w:pPr>
            <w:r>
              <w:rPr>
                <w:rFonts w:hint="eastAsia"/>
                <w:bCs/>
                <w:spacing w:val="-4"/>
                <w:sz w:val="24"/>
              </w:rPr>
              <w:t>投标报价（折扣率）</w:t>
            </w:r>
            <w:r>
              <w:rPr>
                <w:rFonts w:hint="eastAsia"/>
                <w:sz w:val="24"/>
              </w:rPr>
              <w:t>=投标人收取的费用/温州市中心医院收费标准。</w:t>
            </w:r>
            <w:r>
              <w:rPr>
                <w:rFonts w:hint="eastAsia"/>
                <w:kern w:val="0"/>
                <w:szCs w:val="21"/>
              </w:rPr>
              <w:t>中标人合同签订后不得对医院标本数量提出任何要求。该投标报价（折扣率）的价格包括但不限于检测服务费、耗损和其他外送标本检验等及其涉及的运费、油费、保险费、工资、水电费、设备折旧费、税费等全部费用。合同签订后如遇浙江省收费标准下调，则按中标折扣率下调采购单价，如果浙江省收费标准上调，则不上调单价。</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899" w:type="dxa"/>
            <w:vAlign w:val="center"/>
          </w:tcPr>
          <w:p>
            <w:pPr>
              <w:widowControl/>
              <w:jc w:val="center"/>
              <w:rPr>
                <w:sz w:val="24"/>
              </w:rPr>
            </w:pPr>
            <w:r>
              <w:rPr>
                <w:rFonts w:hint="eastAsia"/>
                <w:sz w:val="24"/>
              </w:rPr>
              <w:t>17</w:t>
            </w:r>
          </w:p>
        </w:tc>
        <w:tc>
          <w:tcPr>
            <w:tcW w:w="7366" w:type="dxa"/>
          </w:tcPr>
          <w:p>
            <w:pPr>
              <w:widowControl/>
              <w:jc w:val="left"/>
              <w:rPr>
                <w:kern w:val="0"/>
                <w:szCs w:val="21"/>
              </w:rPr>
            </w:pPr>
            <w:r>
              <w:rPr>
                <w:rFonts w:hint="eastAsia"/>
                <w:kern w:val="0"/>
                <w:szCs w:val="21"/>
              </w:rPr>
              <w:t>合同期内：检测服务费单价如高于同期浙江省内其他单位的单价，则单价格调整到其他单位相同的价格。</w:t>
            </w:r>
          </w:p>
        </w:tc>
        <w:tc>
          <w:tcPr>
            <w:tcW w:w="1039" w:type="dxa"/>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899" w:type="dxa"/>
            <w:vAlign w:val="center"/>
          </w:tcPr>
          <w:p>
            <w:pPr>
              <w:widowControl/>
              <w:jc w:val="center"/>
              <w:rPr>
                <w:sz w:val="24"/>
              </w:rPr>
            </w:pPr>
            <w:r>
              <w:rPr>
                <w:rFonts w:hint="eastAsia"/>
                <w:sz w:val="24"/>
              </w:rPr>
              <w:t>18</w:t>
            </w:r>
          </w:p>
        </w:tc>
        <w:tc>
          <w:tcPr>
            <w:tcW w:w="7366" w:type="dxa"/>
          </w:tcPr>
          <w:p>
            <w:pPr>
              <w:widowControl/>
              <w:jc w:val="left"/>
              <w:rPr>
                <w:kern w:val="0"/>
                <w:szCs w:val="21"/>
              </w:rPr>
            </w:pPr>
            <w:r>
              <w:rPr>
                <w:rFonts w:hint="eastAsia"/>
                <w:kern w:val="0"/>
                <w:szCs w:val="21"/>
              </w:rPr>
              <w:t>保密：招投标及合同中凡涉及买方项目的有关信息，不得透露给第三方。</w:t>
            </w:r>
          </w:p>
        </w:tc>
        <w:tc>
          <w:tcPr>
            <w:tcW w:w="1039" w:type="dxa"/>
          </w:tcPr>
          <w:p>
            <w:pPr>
              <w:widowControl/>
              <w:jc w:val="left"/>
              <w:rPr>
                <w:kern w:val="0"/>
                <w:szCs w:val="21"/>
              </w:rPr>
            </w:pPr>
          </w:p>
        </w:tc>
      </w:tr>
    </w:tbl>
    <w:p/>
    <w:p>
      <w:pPr>
        <w:suppressAutoHyphens/>
        <w:snapToGrid w:val="0"/>
        <w:spacing w:line="360" w:lineRule="auto"/>
        <w:rPr>
          <w:rFonts w:asciiTheme="minorEastAsia" w:hAnsiTheme="minorEastAsia"/>
        </w:rPr>
      </w:pPr>
    </w:p>
    <w:p>
      <w:pPr>
        <w:spacing w:line="460" w:lineRule="exact"/>
        <w:ind w:firstLine="590" w:firstLineChars="245"/>
        <w:outlineLvl w:val="1"/>
        <w:rPr>
          <w:rFonts w:hint="eastAsia" w:ascii="新宋体" w:hAnsi="新宋体" w:eastAsia="新宋体"/>
          <w:b/>
          <w:sz w:val="24"/>
          <w:szCs w:val="22"/>
        </w:rPr>
      </w:pPr>
    </w:p>
    <w:p>
      <w:pPr>
        <w:spacing w:line="460" w:lineRule="exact"/>
        <w:ind w:firstLine="590" w:firstLineChars="245"/>
        <w:outlineLvl w:val="1"/>
        <w:rPr>
          <w:rFonts w:ascii="新宋体" w:hAnsi="新宋体" w:eastAsia="新宋体"/>
          <w:b/>
          <w:sz w:val="24"/>
          <w:szCs w:val="22"/>
        </w:rPr>
      </w:pPr>
      <w:r>
        <w:rPr>
          <w:rFonts w:hint="eastAsia" w:ascii="新宋体" w:hAnsi="新宋体" w:eastAsia="新宋体"/>
          <w:b/>
          <w:sz w:val="24"/>
          <w:szCs w:val="22"/>
        </w:rPr>
        <w:t>评标方法及细则</w:t>
      </w:r>
    </w:p>
    <w:p>
      <w:pPr>
        <w:spacing w:line="460" w:lineRule="exact"/>
        <w:ind w:firstLine="539" w:firstLineChars="245"/>
        <w:rPr>
          <w:rFonts w:ascii="新宋体" w:hAnsi="新宋体" w:eastAsia="新宋体"/>
          <w:b/>
          <w:sz w:val="22"/>
          <w:szCs w:val="22"/>
        </w:rPr>
      </w:pPr>
      <w:r>
        <w:rPr>
          <w:rFonts w:hint="eastAsia" w:ascii="新宋体" w:hAnsi="新宋体" w:eastAsia="新宋体"/>
          <w:sz w:val="22"/>
          <w:szCs w:val="22"/>
        </w:rPr>
        <w:t>本次采购采用百分制综合评分法，即投标人最大限度地满足招标文件实质性要求的基础上，按照招标文件的各项因素进行综合评审后，以评标总得分最高的投标人和次高的投标人作为第一和第二排序的中标候选人的评标方法。根据采购要求，</w:t>
      </w:r>
      <w:r>
        <w:rPr>
          <w:rFonts w:hint="eastAsia" w:ascii="新宋体" w:hAnsi="新宋体" w:eastAsia="新宋体"/>
          <w:b/>
          <w:sz w:val="22"/>
          <w:szCs w:val="22"/>
        </w:rPr>
        <w:t>总分设定为100分：技术标70分（权值70%），商务标（报价）30分（权值30%）。</w:t>
      </w:r>
    </w:p>
    <w:p>
      <w:pPr>
        <w:spacing w:line="460" w:lineRule="exact"/>
        <w:ind w:firstLine="541" w:firstLineChars="245"/>
        <w:outlineLvl w:val="1"/>
        <w:rPr>
          <w:rFonts w:ascii="新宋体" w:hAnsi="新宋体" w:eastAsia="新宋体"/>
          <w:b/>
          <w:sz w:val="22"/>
          <w:szCs w:val="22"/>
        </w:rPr>
      </w:pPr>
      <w:r>
        <w:rPr>
          <w:rFonts w:hint="eastAsia" w:ascii="新宋体" w:hAnsi="新宋体" w:eastAsia="新宋体"/>
          <w:b/>
          <w:sz w:val="22"/>
          <w:szCs w:val="22"/>
        </w:rPr>
        <w:t>1、</w:t>
      </w:r>
      <w:r>
        <w:rPr>
          <w:rFonts w:hint="eastAsia" w:ascii="新宋体" w:hAnsi="新宋体" w:eastAsia="新宋体" w:cs="新宋体"/>
          <w:b/>
          <w:sz w:val="22"/>
          <w:szCs w:val="22"/>
        </w:rPr>
        <w:t>技术分的评定（70分)（权值70</w:t>
      </w:r>
      <w:r>
        <w:rPr>
          <w:rFonts w:hint="eastAsia" w:ascii="新宋体" w:hAnsi="新宋体" w:eastAsia="新宋体"/>
          <w:b/>
          <w:sz w:val="22"/>
          <w:szCs w:val="22"/>
        </w:rPr>
        <w:t>%）</w:t>
      </w:r>
    </w:p>
    <w:p>
      <w:pPr>
        <w:spacing w:line="460" w:lineRule="exact"/>
        <w:ind w:firstLine="539" w:firstLineChars="245"/>
        <w:rPr>
          <w:rFonts w:ascii="新宋体" w:hAnsi="新宋体" w:eastAsia="新宋体"/>
          <w:sz w:val="22"/>
        </w:rPr>
      </w:pPr>
      <w:r>
        <w:rPr>
          <w:rFonts w:hint="eastAsia" w:ascii="新宋体" w:hAnsi="新宋体" w:eastAsia="新宋体"/>
          <w:sz w:val="22"/>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6"/>
        <w:tblW w:w="909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4"/>
        <w:gridCol w:w="854"/>
        <w:gridCol w:w="855"/>
        <w:gridCol w:w="856"/>
        <w:gridCol w:w="1188"/>
        <w:gridCol w:w="328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64" w:type="dxa"/>
            <w:tcBorders>
              <w:top w:val="double" w:color="auto" w:sz="4" w:space="0"/>
              <w:left w:val="double" w:color="auto" w:sz="4" w:space="0"/>
              <w:bottom w:val="single" w:color="auto" w:sz="4" w:space="0"/>
              <w:right w:val="single" w:color="auto" w:sz="4" w:space="0"/>
            </w:tcBorders>
            <w:vAlign w:val="center"/>
          </w:tcPr>
          <w:p>
            <w:pPr>
              <w:jc w:val="center"/>
              <w:rPr>
                <w:sz w:val="24"/>
              </w:rPr>
            </w:pPr>
            <w:r>
              <w:rPr>
                <w:sz w:val="24"/>
              </w:rPr>
              <w:t>评定项目</w:t>
            </w:r>
          </w:p>
        </w:tc>
        <w:tc>
          <w:tcPr>
            <w:tcW w:w="854" w:type="dxa"/>
            <w:tcBorders>
              <w:top w:val="doub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C</w:t>
            </w:r>
          </w:p>
        </w:tc>
        <w:tc>
          <w:tcPr>
            <w:tcW w:w="855" w:type="dxa"/>
            <w:tcBorders>
              <w:top w:val="doub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B</w:t>
            </w:r>
          </w:p>
        </w:tc>
        <w:tc>
          <w:tcPr>
            <w:tcW w:w="856" w:type="dxa"/>
            <w:tcBorders>
              <w:top w:val="doub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A</w:t>
            </w:r>
          </w:p>
        </w:tc>
        <w:tc>
          <w:tcPr>
            <w:tcW w:w="1188" w:type="dxa"/>
            <w:tcBorders>
              <w:top w:val="double" w:color="auto" w:sz="4" w:space="0"/>
              <w:left w:val="single" w:color="auto" w:sz="4" w:space="0"/>
              <w:bottom w:val="single" w:color="auto" w:sz="4" w:space="0"/>
              <w:right w:val="single" w:color="auto" w:sz="4" w:space="0"/>
            </w:tcBorders>
            <w:vAlign w:val="center"/>
          </w:tcPr>
          <w:p>
            <w:pPr>
              <w:jc w:val="center"/>
              <w:rPr>
                <w:sz w:val="24"/>
              </w:rPr>
            </w:pPr>
            <w:r>
              <w:rPr>
                <w:sz w:val="24"/>
              </w:rPr>
              <w:t>分值范围</w:t>
            </w:r>
          </w:p>
        </w:tc>
        <w:tc>
          <w:tcPr>
            <w:tcW w:w="3282" w:type="dxa"/>
            <w:tcBorders>
              <w:top w:val="double" w:color="auto" w:sz="4" w:space="0"/>
              <w:left w:val="single" w:color="auto" w:sz="4" w:space="0"/>
              <w:bottom w:val="single" w:color="auto" w:sz="4" w:space="0"/>
              <w:right w:val="double" w:color="auto" w:sz="4" w:space="0"/>
            </w:tcBorders>
            <w:vAlign w:val="center"/>
          </w:tcPr>
          <w:p>
            <w:pPr>
              <w:ind w:left="105" w:leftChars="50" w:right="10" w:rightChars="5"/>
              <w:jc w:val="center"/>
              <w:rPr>
                <w:sz w:val="24"/>
              </w:rPr>
            </w:pPr>
            <w:r>
              <w:rPr>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64" w:type="dxa"/>
            <w:tcBorders>
              <w:top w:val="single" w:color="auto" w:sz="4" w:space="0"/>
              <w:left w:val="double" w:color="auto" w:sz="4" w:space="0"/>
              <w:bottom w:val="single" w:color="auto" w:sz="4" w:space="0"/>
              <w:right w:val="single" w:color="auto" w:sz="4" w:space="0"/>
            </w:tcBorders>
            <w:vAlign w:val="center"/>
          </w:tcPr>
          <w:p>
            <w:pPr>
              <w:rPr>
                <w:rFonts w:ascii="新宋体" w:hAnsi="新宋体" w:eastAsia="新宋体" w:cs="新宋体"/>
                <w:sz w:val="22"/>
                <w:szCs w:val="22"/>
              </w:rPr>
            </w:pPr>
            <w:r>
              <w:rPr>
                <w:rFonts w:hint="eastAsia" w:ascii="新宋体" w:hAnsi="新宋体" w:eastAsia="新宋体" w:cs="新宋体"/>
                <w:sz w:val="22"/>
                <w:szCs w:val="22"/>
              </w:rPr>
              <w:t>招标文件中服务要求的符合性</w:t>
            </w:r>
          </w:p>
        </w:tc>
        <w:tc>
          <w:tcPr>
            <w:tcW w:w="25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0-28</w:t>
            </w: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0-28</w:t>
            </w:r>
          </w:p>
        </w:tc>
        <w:tc>
          <w:tcPr>
            <w:tcW w:w="3282" w:type="dxa"/>
            <w:tcBorders>
              <w:top w:val="single" w:color="auto" w:sz="4" w:space="0"/>
              <w:left w:val="single" w:color="auto" w:sz="4" w:space="0"/>
              <w:bottom w:val="single" w:color="auto" w:sz="4" w:space="0"/>
              <w:right w:val="double" w:color="auto" w:sz="4" w:space="0"/>
            </w:tcBorders>
            <w:vAlign w:val="center"/>
          </w:tcPr>
          <w:p>
            <w:pPr>
              <w:ind w:left="105" w:leftChars="50" w:right="10" w:rightChars="5"/>
              <w:rPr>
                <w:rFonts w:ascii="新宋体" w:hAnsi="新宋体" w:eastAsia="新宋体" w:cs="新宋体"/>
                <w:sz w:val="22"/>
                <w:szCs w:val="22"/>
              </w:rPr>
            </w:pPr>
            <w:r>
              <w:rPr>
                <w:rFonts w:hint="eastAsia" w:ascii="新宋体" w:hAnsi="新宋体" w:eastAsia="新宋体" w:cs="新宋体"/>
                <w:sz w:val="22"/>
                <w:szCs w:val="22"/>
              </w:rPr>
              <w:t>与招标文件中服务要求对比，实质性条款除外，一项指标负偏离扣0.5-2分，一项功能负偏离扣2-3分。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64" w:type="dxa"/>
            <w:tcBorders>
              <w:top w:val="single" w:color="auto" w:sz="4" w:space="0"/>
              <w:left w:val="double" w:color="auto" w:sz="4" w:space="0"/>
              <w:bottom w:val="single" w:color="auto" w:sz="4" w:space="0"/>
              <w:right w:val="single" w:color="auto" w:sz="4" w:space="0"/>
            </w:tcBorders>
            <w:vAlign w:val="center"/>
          </w:tcPr>
          <w:p>
            <w:pPr>
              <w:rPr>
                <w:rFonts w:ascii="新宋体" w:hAnsi="新宋体" w:eastAsia="新宋体" w:cs="新宋体"/>
                <w:sz w:val="22"/>
                <w:szCs w:val="22"/>
              </w:rPr>
            </w:pPr>
            <w:r>
              <w:rPr>
                <w:rFonts w:hint="eastAsia" w:ascii="新宋体" w:hAnsi="新宋体" w:eastAsia="新宋体" w:cs="新宋体"/>
                <w:sz w:val="22"/>
                <w:szCs w:val="22"/>
              </w:rPr>
              <w:t>检测能力范围</w:t>
            </w:r>
          </w:p>
        </w:tc>
        <w:tc>
          <w:tcPr>
            <w:tcW w:w="25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0-6</w:t>
            </w: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0-6</w:t>
            </w:r>
          </w:p>
        </w:tc>
        <w:tc>
          <w:tcPr>
            <w:tcW w:w="3282" w:type="dxa"/>
            <w:tcBorders>
              <w:top w:val="single" w:color="auto" w:sz="4" w:space="0"/>
              <w:left w:val="single" w:color="auto" w:sz="4" w:space="0"/>
              <w:bottom w:val="single" w:color="auto" w:sz="4" w:space="0"/>
              <w:right w:val="double" w:color="auto" w:sz="4" w:space="0"/>
            </w:tcBorders>
            <w:vAlign w:val="center"/>
          </w:tcPr>
          <w:p>
            <w:pPr>
              <w:rPr>
                <w:rFonts w:ascii="新宋体" w:hAnsi="新宋体" w:eastAsia="新宋体" w:cs="新宋体"/>
                <w:sz w:val="22"/>
                <w:szCs w:val="22"/>
              </w:rPr>
            </w:pPr>
            <w:r>
              <w:rPr>
                <w:rFonts w:hint="eastAsia" w:ascii="新宋体" w:hAnsi="新宋体" w:eastAsia="新宋体" w:cs="新宋体"/>
                <w:sz w:val="22"/>
                <w:szCs w:val="22"/>
              </w:rPr>
              <w:t>招标人提供《检验检测机构资质认定证书附表》（需加盖红章），以</w:t>
            </w:r>
            <w:r>
              <w:rPr>
                <w:sz w:val="24"/>
              </w:rPr>
              <w:t>“幽门螺杆菌”和“</w:t>
            </w:r>
            <w:r>
              <w:rPr>
                <w:rFonts w:hint="eastAsia"/>
                <w:sz w:val="24"/>
              </w:rPr>
              <w:t>抗菌药物敏感性</w:t>
            </w:r>
            <w:r>
              <w:rPr>
                <w:sz w:val="24"/>
              </w:rPr>
              <w:t>试验”</w:t>
            </w:r>
            <w:r>
              <w:rPr>
                <w:rFonts w:hint="eastAsia"/>
                <w:sz w:val="24"/>
              </w:rPr>
              <w:t>检验检测的</w:t>
            </w:r>
            <w:r>
              <w:rPr>
                <w:rFonts w:hint="eastAsia" w:ascii="新宋体" w:hAnsi="新宋体" w:eastAsia="新宋体" w:cs="新宋体"/>
                <w:sz w:val="22"/>
                <w:szCs w:val="22"/>
              </w:rPr>
              <w:t>检测能力范围为准，每提供一个得3分。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2064" w:type="dxa"/>
            <w:tcBorders>
              <w:top w:val="single" w:color="auto" w:sz="4" w:space="0"/>
              <w:left w:val="double" w:color="auto" w:sz="4" w:space="0"/>
              <w:bottom w:val="single" w:color="auto" w:sz="4" w:space="0"/>
              <w:right w:val="single" w:color="auto" w:sz="4" w:space="0"/>
            </w:tcBorders>
            <w:vAlign w:val="center"/>
          </w:tcPr>
          <w:p>
            <w:pPr>
              <w:rPr>
                <w:rFonts w:ascii="新宋体" w:hAnsi="新宋体" w:eastAsia="新宋体" w:cs="新宋体"/>
                <w:sz w:val="22"/>
                <w:szCs w:val="22"/>
              </w:rPr>
            </w:pPr>
            <w:r>
              <w:rPr>
                <w:rFonts w:hint="eastAsia" w:ascii="新宋体" w:hAnsi="新宋体" w:eastAsia="新宋体" w:cs="新宋体"/>
                <w:sz w:val="22"/>
                <w:szCs w:val="22"/>
              </w:rPr>
              <w:t>实验室仪器、试剂、方法学</w:t>
            </w:r>
          </w:p>
        </w:tc>
        <w:tc>
          <w:tcPr>
            <w:tcW w:w="854"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0-4</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4-8</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8-12</w:t>
            </w: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0-12</w:t>
            </w:r>
          </w:p>
        </w:tc>
        <w:tc>
          <w:tcPr>
            <w:tcW w:w="3282" w:type="dxa"/>
            <w:tcBorders>
              <w:top w:val="single" w:color="auto" w:sz="4" w:space="0"/>
              <w:left w:val="single" w:color="auto" w:sz="4" w:space="0"/>
              <w:bottom w:val="single" w:color="auto" w:sz="4" w:space="0"/>
              <w:right w:val="double" w:color="auto" w:sz="4" w:space="0"/>
            </w:tcBorders>
            <w:vAlign w:val="center"/>
          </w:tcPr>
          <w:p>
            <w:pPr>
              <w:jc w:val="left"/>
              <w:rPr>
                <w:rFonts w:ascii="新宋体" w:hAnsi="新宋体" w:eastAsia="新宋体" w:cs="新宋体"/>
                <w:color w:val="1301BF"/>
                <w:sz w:val="22"/>
                <w:szCs w:val="22"/>
              </w:rPr>
            </w:pPr>
            <w:r>
              <w:rPr>
                <w:rFonts w:hint="eastAsia" w:ascii="新宋体" w:hAnsi="新宋体" w:eastAsia="新宋体" w:cs="新宋体"/>
                <w:bCs/>
                <w:sz w:val="22"/>
                <w:szCs w:val="22"/>
              </w:rPr>
              <w:t>对投标人提供本项目所涉及的仪器设备清单、品牌及方法学等进行合理性、技术先进性评价，酌情打分。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2064" w:type="dxa"/>
            <w:tcBorders>
              <w:top w:val="single" w:color="auto" w:sz="4" w:space="0"/>
              <w:left w:val="double" w:color="auto" w:sz="4" w:space="0"/>
              <w:right w:val="single" w:color="auto" w:sz="4" w:space="0"/>
            </w:tcBorders>
            <w:vAlign w:val="center"/>
          </w:tcPr>
          <w:p>
            <w:pPr>
              <w:rPr>
                <w:rFonts w:ascii="新宋体" w:hAnsi="新宋体" w:eastAsia="新宋体" w:cs="新宋体"/>
                <w:sz w:val="22"/>
                <w:szCs w:val="22"/>
              </w:rPr>
            </w:pPr>
            <w:r>
              <w:rPr>
                <w:rFonts w:hint="eastAsia" w:ascii="新宋体" w:hAnsi="新宋体" w:eastAsia="新宋体" w:cs="新宋体"/>
                <w:sz w:val="22"/>
                <w:szCs w:val="22"/>
              </w:rPr>
              <w:t>幽门螺旋杆菌外送检测项目成功的业绩</w:t>
            </w:r>
          </w:p>
        </w:tc>
        <w:tc>
          <w:tcPr>
            <w:tcW w:w="2565" w:type="dxa"/>
            <w:gridSpan w:val="3"/>
            <w:tcBorders>
              <w:top w:val="single" w:color="auto" w:sz="4" w:space="0"/>
              <w:left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0-10</w:t>
            </w:r>
          </w:p>
        </w:tc>
        <w:tc>
          <w:tcPr>
            <w:tcW w:w="1188" w:type="dxa"/>
            <w:tcBorders>
              <w:top w:val="single" w:color="auto" w:sz="4" w:space="0"/>
              <w:left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0-10</w:t>
            </w:r>
          </w:p>
        </w:tc>
        <w:tc>
          <w:tcPr>
            <w:tcW w:w="3282" w:type="dxa"/>
            <w:tcBorders>
              <w:top w:val="single" w:color="auto" w:sz="4" w:space="0"/>
              <w:left w:val="single" w:color="auto" w:sz="4" w:space="0"/>
              <w:bottom w:val="single" w:color="auto" w:sz="4" w:space="0"/>
              <w:right w:val="double" w:color="auto" w:sz="4" w:space="0"/>
            </w:tcBorders>
            <w:vAlign w:val="center"/>
          </w:tcPr>
          <w:p>
            <w:pPr>
              <w:ind w:left="105" w:leftChars="50" w:right="10" w:rightChars="5"/>
              <w:rPr>
                <w:rFonts w:ascii="新宋体" w:hAnsi="新宋体" w:eastAsia="新宋体" w:cs="新宋体"/>
                <w:sz w:val="22"/>
                <w:szCs w:val="22"/>
              </w:rPr>
            </w:pPr>
            <w:r>
              <w:rPr>
                <w:rFonts w:hint="eastAsia" w:ascii="新宋体" w:hAnsi="新宋体" w:eastAsia="新宋体" w:cs="新宋体"/>
                <w:sz w:val="22"/>
                <w:szCs w:val="22"/>
              </w:rPr>
              <w:t>以投标人提供的三级医院合作合同复印件（需加盖红章）量为准，每提供一个合同得1分，最多得10分。提供的合同复印件签订日期为2016年1月1日至今，且在合同还在有效期内。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64" w:type="dxa"/>
            <w:tcBorders>
              <w:top w:val="single" w:color="auto" w:sz="4" w:space="0"/>
              <w:left w:val="double" w:color="auto" w:sz="4" w:space="0"/>
              <w:right w:val="single" w:color="auto" w:sz="4" w:space="0"/>
            </w:tcBorders>
            <w:vAlign w:val="center"/>
          </w:tcPr>
          <w:p>
            <w:pPr>
              <w:rPr>
                <w:rFonts w:ascii="新宋体" w:hAnsi="新宋体" w:eastAsia="新宋体" w:cs="新宋体"/>
                <w:sz w:val="22"/>
                <w:szCs w:val="22"/>
              </w:rPr>
            </w:pPr>
            <w:r>
              <w:rPr>
                <w:rFonts w:hint="eastAsia" w:ascii="新宋体" w:hAnsi="新宋体" w:eastAsia="新宋体" w:cs="新宋体"/>
                <w:sz w:val="22"/>
                <w:szCs w:val="22"/>
              </w:rPr>
              <w:t>质量管理体系</w:t>
            </w:r>
          </w:p>
        </w:tc>
        <w:tc>
          <w:tcPr>
            <w:tcW w:w="854"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0-1</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1-3</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3-4</w:t>
            </w: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0-4</w:t>
            </w:r>
          </w:p>
        </w:tc>
        <w:tc>
          <w:tcPr>
            <w:tcW w:w="3282" w:type="dxa"/>
            <w:tcBorders>
              <w:top w:val="single" w:color="auto" w:sz="4" w:space="0"/>
              <w:left w:val="single" w:color="auto" w:sz="4" w:space="0"/>
              <w:bottom w:val="single" w:color="auto" w:sz="4" w:space="0"/>
              <w:right w:val="double" w:color="auto" w:sz="4" w:space="0"/>
            </w:tcBorders>
            <w:vAlign w:val="center"/>
          </w:tcPr>
          <w:p>
            <w:pPr>
              <w:ind w:left="105" w:leftChars="50" w:right="10" w:rightChars="5"/>
              <w:rPr>
                <w:rFonts w:ascii="新宋体" w:hAnsi="新宋体" w:eastAsia="新宋体" w:cs="新宋体"/>
                <w:sz w:val="22"/>
                <w:szCs w:val="22"/>
              </w:rPr>
            </w:pPr>
            <w:r>
              <w:rPr>
                <w:rFonts w:hint="eastAsia" w:ascii="新宋体" w:hAnsi="新宋体" w:eastAsia="新宋体" w:cs="新宋体"/>
                <w:sz w:val="22"/>
                <w:szCs w:val="22"/>
              </w:rPr>
              <w:t>对投标人提供的质量管理体系文件进行评价，酌情打分。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2064" w:type="dxa"/>
            <w:tcBorders>
              <w:left w:val="double" w:color="auto" w:sz="4" w:space="0"/>
              <w:right w:val="single" w:color="auto" w:sz="4" w:space="0"/>
            </w:tcBorders>
            <w:vAlign w:val="center"/>
          </w:tcPr>
          <w:p>
            <w:pPr>
              <w:rPr>
                <w:rFonts w:ascii="新宋体" w:hAnsi="新宋体" w:eastAsia="新宋体" w:cs="新宋体"/>
                <w:sz w:val="22"/>
                <w:szCs w:val="22"/>
              </w:rPr>
            </w:pPr>
            <w:r>
              <w:rPr>
                <w:rFonts w:hint="eastAsia" w:ascii="新宋体" w:hAnsi="新宋体" w:eastAsia="新宋体" w:cs="新宋体"/>
                <w:sz w:val="22"/>
                <w:szCs w:val="22"/>
              </w:rPr>
              <w:t>检验结果查询方案</w:t>
            </w:r>
          </w:p>
        </w:tc>
        <w:tc>
          <w:tcPr>
            <w:tcW w:w="854" w:type="dxa"/>
            <w:tcBorders>
              <w:top w:val="single" w:color="auto" w:sz="4" w:space="0"/>
              <w:left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0-1</w:t>
            </w:r>
          </w:p>
        </w:tc>
        <w:tc>
          <w:tcPr>
            <w:tcW w:w="855" w:type="dxa"/>
            <w:tcBorders>
              <w:top w:val="single" w:color="auto" w:sz="4" w:space="0"/>
              <w:left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1-2</w:t>
            </w:r>
          </w:p>
        </w:tc>
        <w:tc>
          <w:tcPr>
            <w:tcW w:w="856" w:type="dxa"/>
            <w:tcBorders>
              <w:top w:val="single" w:color="auto" w:sz="4" w:space="0"/>
              <w:left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2-3</w:t>
            </w:r>
          </w:p>
        </w:tc>
        <w:tc>
          <w:tcPr>
            <w:tcW w:w="1188" w:type="dxa"/>
            <w:tcBorders>
              <w:top w:val="single" w:color="auto" w:sz="4" w:space="0"/>
              <w:left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0-3</w:t>
            </w:r>
          </w:p>
        </w:tc>
        <w:tc>
          <w:tcPr>
            <w:tcW w:w="3282" w:type="dxa"/>
            <w:tcBorders>
              <w:top w:val="single" w:color="auto" w:sz="4" w:space="0"/>
              <w:left w:val="single" w:color="auto" w:sz="4" w:space="0"/>
              <w:bottom w:val="single" w:color="auto" w:sz="4" w:space="0"/>
              <w:right w:val="double" w:color="auto" w:sz="4" w:space="0"/>
            </w:tcBorders>
            <w:vAlign w:val="center"/>
          </w:tcPr>
          <w:p>
            <w:pPr>
              <w:ind w:left="105" w:leftChars="50" w:right="10" w:rightChars="5"/>
              <w:rPr>
                <w:rFonts w:ascii="新宋体" w:hAnsi="新宋体" w:eastAsia="新宋体" w:cs="新宋体"/>
                <w:sz w:val="22"/>
                <w:szCs w:val="22"/>
              </w:rPr>
            </w:pPr>
            <w:r>
              <w:rPr>
                <w:rFonts w:hint="eastAsia" w:ascii="新宋体" w:hAnsi="新宋体" w:eastAsia="新宋体" w:cs="新宋体"/>
                <w:sz w:val="22"/>
                <w:szCs w:val="22"/>
              </w:rPr>
              <w:t>对投标人提供的检验数据双方系统对接，同步查询方案进行评价，酌情打分。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2064" w:type="dxa"/>
            <w:tcBorders>
              <w:left w:val="double" w:color="auto" w:sz="4" w:space="0"/>
              <w:right w:val="single" w:color="auto" w:sz="4" w:space="0"/>
            </w:tcBorders>
            <w:vAlign w:val="center"/>
          </w:tcPr>
          <w:p>
            <w:pPr>
              <w:rPr>
                <w:rFonts w:ascii="新宋体" w:hAnsi="新宋体" w:eastAsia="新宋体" w:cs="新宋体"/>
                <w:sz w:val="22"/>
                <w:szCs w:val="22"/>
              </w:rPr>
            </w:pPr>
            <w:r>
              <w:rPr>
                <w:rFonts w:hint="eastAsia" w:ascii="新宋体" w:hAnsi="新宋体" w:eastAsia="新宋体" w:cs="新宋体"/>
                <w:sz w:val="22"/>
                <w:szCs w:val="22"/>
              </w:rPr>
              <w:t>物流方案</w:t>
            </w:r>
          </w:p>
        </w:tc>
        <w:tc>
          <w:tcPr>
            <w:tcW w:w="854" w:type="dxa"/>
            <w:tcBorders>
              <w:top w:val="single" w:color="auto" w:sz="4" w:space="0"/>
              <w:left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0-1</w:t>
            </w:r>
          </w:p>
        </w:tc>
        <w:tc>
          <w:tcPr>
            <w:tcW w:w="855" w:type="dxa"/>
            <w:tcBorders>
              <w:top w:val="single" w:color="auto" w:sz="4" w:space="0"/>
              <w:left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1-2</w:t>
            </w:r>
          </w:p>
        </w:tc>
        <w:tc>
          <w:tcPr>
            <w:tcW w:w="856" w:type="dxa"/>
            <w:tcBorders>
              <w:top w:val="single" w:color="auto" w:sz="4" w:space="0"/>
              <w:left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2-3</w:t>
            </w:r>
          </w:p>
        </w:tc>
        <w:tc>
          <w:tcPr>
            <w:tcW w:w="1188" w:type="dxa"/>
            <w:tcBorders>
              <w:top w:val="single" w:color="auto" w:sz="4" w:space="0"/>
              <w:left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0-3</w:t>
            </w:r>
          </w:p>
        </w:tc>
        <w:tc>
          <w:tcPr>
            <w:tcW w:w="3282" w:type="dxa"/>
            <w:tcBorders>
              <w:top w:val="single" w:color="auto" w:sz="4" w:space="0"/>
              <w:left w:val="single" w:color="auto" w:sz="4" w:space="0"/>
              <w:bottom w:val="single" w:color="auto" w:sz="4" w:space="0"/>
              <w:right w:val="double" w:color="auto" w:sz="4" w:space="0"/>
            </w:tcBorders>
            <w:vAlign w:val="center"/>
          </w:tcPr>
          <w:p>
            <w:pPr>
              <w:ind w:left="105" w:leftChars="50" w:right="10" w:rightChars="5"/>
              <w:rPr>
                <w:rFonts w:ascii="新宋体" w:hAnsi="新宋体" w:eastAsia="新宋体" w:cs="新宋体"/>
                <w:sz w:val="22"/>
                <w:szCs w:val="22"/>
              </w:rPr>
            </w:pPr>
            <w:r>
              <w:rPr>
                <w:rFonts w:hint="eastAsia" w:ascii="新宋体" w:hAnsi="新宋体" w:eastAsia="新宋体" w:cs="新宋体"/>
                <w:sz w:val="22"/>
                <w:szCs w:val="22"/>
              </w:rPr>
              <w:t>对投标人提供的冷链物流</w:t>
            </w:r>
            <w:r>
              <w:rPr>
                <w:rFonts w:ascii="新宋体" w:hAnsi="新宋体" w:eastAsia="新宋体" w:cs="新宋体"/>
                <w:sz w:val="22"/>
                <w:szCs w:val="22"/>
              </w:rPr>
              <w:t>（超低温运送）</w:t>
            </w:r>
            <w:r>
              <w:rPr>
                <w:rFonts w:hint="eastAsia" w:ascii="新宋体" w:hAnsi="新宋体" w:eastAsia="新宋体" w:cs="新宋体"/>
                <w:sz w:val="22"/>
                <w:szCs w:val="22"/>
              </w:rPr>
              <w:t>方案进行评价，酌情打分。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64" w:type="dxa"/>
            <w:tcBorders>
              <w:top w:val="single" w:color="auto" w:sz="4" w:space="0"/>
              <w:left w:val="double" w:color="auto" w:sz="4" w:space="0"/>
              <w:bottom w:val="single" w:color="auto" w:sz="4" w:space="0"/>
              <w:right w:val="single" w:color="auto" w:sz="4" w:space="0"/>
            </w:tcBorders>
            <w:vAlign w:val="center"/>
          </w:tcPr>
          <w:p>
            <w:pPr>
              <w:rPr>
                <w:rFonts w:ascii="新宋体" w:hAnsi="新宋体" w:eastAsia="新宋体" w:cs="新宋体"/>
                <w:sz w:val="22"/>
                <w:szCs w:val="22"/>
              </w:rPr>
            </w:pPr>
            <w:r>
              <w:rPr>
                <w:rFonts w:hint="eastAsia" w:ascii="新宋体" w:hAnsi="新宋体" w:eastAsia="新宋体" w:cs="新宋体"/>
                <w:sz w:val="22"/>
                <w:szCs w:val="22"/>
              </w:rPr>
              <w:t>投标人提供的超出招标文件的优惠条件</w:t>
            </w:r>
          </w:p>
        </w:tc>
        <w:tc>
          <w:tcPr>
            <w:tcW w:w="25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0-2</w:t>
            </w: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0-3</w:t>
            </w:r>
          </w:p>
        </w:tc>
        <w:tc>
          <w:tcPr>
            <w:tcW w:w="3282" w:type="dxa"/>
            <w:tcBorders>
              <w:top w:val="single" w:color="auto" w:sz="4" w:space="0"/>
              <w:left w:val="single" w:color="auto" w:sz="4" w:space="0"/>
              <w:bottom w:val="single" w:color="auto" w:sz="4" w:space="0"/>
              <w:right w:val="double" w:color="auto" w:sz="4" w:space="0"/>
            </w:tcBorders>
            <w:vAlign w:val="center"/>
          </w:tcPr>
          <w:p>
            <w:pPr>
              <w:ind w:left="105" w:leftChars="50" w:right="10" w:rightChars="5"/>
              <w:rPr>
                <w:rFonts w:ascii="新宋体" w:hAnsi="新宋体" w:eastAsia="新宋体" w:cs="新宋体"/>
                <w:sz w:val="22"/>
                <w:szCs w:val="22"/>
              </w:rPr>
            </w:pPr>
            <w:r>
              <w:rPr>
                <w:rFonts w:hint="eastAsia" w:ascii="新宋体" w:hAnsi="新宋体" w:eastAsia="新宋体" w:cs="新宋体"/>
                <w:sz w:val="22"/>
                <w:szCs w:val="22"/>
              </w:rPr>
              <w:t>评委对投标文件中是否有超出招标文件的实质性优惠条件</w:t>
            </w:r>
            <w:r>
              <w:rPr>
                <w:rFonts w:ascii="新宋体" w:hAnsi="新宋体" w:eastAsia="新宋体" w:cs="新宋体"/>
                <w:sz w:val="22"/>
                <w:szCs w:val="22"/>
              </w:rPr>
              <w:t>（学术支持、</w:t>
            </w:r>
            <w:r>
              <w:rPr>
                <w:rFonts w:hint="eastAsia" w:ascii="新宋体" w:hAnsi="新宋体" w:eastAsia="新宋体" w:cs="新宋体"/>
                <w:sz w:val="22"/>
                <w:szCs w:val="22"/>
              </w:rPr>
              <w:t>临床</w:t>
            </w:r>
            <w:r>
              <w:rPr>
                <w:rFonts w:ascii="新宋体" w:hAnsi="新宋体" w:eastAsia="新宋体" w:cs="新宋体"/>
                <w:sz w:val="22"/>
                <w:szCs w:val="22"/>
              </w:rPr>
              <w:t>科研合作</w:t>
            </w:r>
            <w:r>
              <w:rPr>
                <w:rFonts w:hint="eastAsia" w:ascii="新宋体" w:hAnsi="新宋体" w:eastAsia="新宋体" w:cs="新宋体"/>
                <w:sz w:val="22"/>
                <w:szCs w:val="22"/>
              </w:rPr>
              <w:t>等</w:t>
            </w:r>
            <w:r>
              <w:rPr>
                <w:rFonts w:ascii="新宋体" w:hAnsi="新宋体" w:eastAsia="新宋体" w:cs="新宋体"/>
                <w:sz w:val="22"/>
                <w:szCs w:val="22"/>
              </w:rPr>
              <w:t>）</w:t>
            </w:r>
            <w:r>
              <w:rPr>
                <w:rFonts w:hint="eastAsia" w:ascii="新宋体" w:hAnsi="新宋体" w:eastAsia="新宋体" w:cs="新宋体"/>
                <w:sz w:val="22"/>
                <w:szCs w:val="22"/>
              </w:rPr>
              <w:t>进行评议，没有优惠条件得0分；有优惠条件的，根据优惠内容得0-3分。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2064" w:type="dxa"/>
            <w:tcBorders>
              <w:top w:val="single" w:color="auto" w:sz="4" w:space="0"/>
              <w:left w:val="double" w:color="auto" w:sz="4" w:space="0"/>
              <w:bottom w:val="single" w:color="auto" w:sz="4" w:space="0"/>
              <w:right w:val="single" w:color="auto" w:sz="4" w:space="0"/>
            </w:tcBorders>
            <w:vAlign w:val="center"/>
          </w:tcPr>
          <w:p>
            <w:pPr>
              <w:rPr>
                <w:rFonts w:ascii="新宋体" w:hAnsi="新宋体" w:eastAsia="新宋体" w:cs="新宋体"/>
                <w:sz w:val="22"/>
                <w:szCs w:val="22"/>
              </w:rPr>
            </w:pPr>
            <w:r>
              <w:rPr>
                <w:rFonts w:hint="eastAsia" w:ascii="新宋体" w:hAnsi="新宋体" w:eastAsia="新宋体" w:cs="新宋体"/>
                <w:sz w:val="22"/>
                <w:szCs w:val="22"/>
              </w:rPr>
              <w:t>投标文件制作质量</w:t>
            </w:r>
          </w:p>
        </w:tc>
        <w:tc>
          <w:tcPr>
            <w:tcW w:w="854"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0-0.5</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0.5-1</w:t>
            </w: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0-1</w:t>
            </w:r>
          </w:p>
        </w:tc>
        <w:tc>
          <w:tcPr>
            <w:tcW w:w="3282" w:type="dxa"/>
            <w:tcBorders>
              <w:top w:val="single" w:color="auto" w:sz="4" w:space="0"/>
              <w:left w:val="single" w:color="auto" w:sz="4" w:space="0"/>
              <w:bottom w:val="single" w:color="auto" w:sz="4" w:space="0"/>
              <w:right w:val="double" w:color="auto" w:sz="4" w:space="0"/>
            </w:tcBorders>
            <w:vAlign w:val="center"/>
          </w:tcPr>
          <w:p>
            <w:pPr>
              <w:ind w:left="105" w:leftChars="50" w:right="10" w:rightChars="5"/>
              <w:rPr>
                <w:rFonts w:ascii="新宋体" w:hAnsi="新宋体" w:eastAsia="新宋体" w:cs="新宋体"/>
                <w:sz w:val="22"/>
                <w:szCs w:val="22"/>
              </w:rPr>
            </w:pPr>
            <w:r>
              <w:rPr>
                <w:rFonts w:hint="eastAsia" w:ascii="新宋体" w:hAnsi="新宋体" w:eastAsia="新宋体" w:cs="新宋体"/>
                <w:sz w:val="22"/>
                <w:szCs w:val="22"/>
              </w:rPr>
              <w:t>对投标文件的制作质量进行综合评价，酌情打分。</w:t>
            </w:r>
          </w:p>
        </w:tc>
      </w:tr>
    </w:tbl>
    <w:p>
      <w:pPr>
        <w:spacing w:line="460" w:lineRule="exact"/>
        <w:ind w:firstLine="541" w:firstLineChars="245"/>
        <w:outlineLvl w:val="1"/>
        <w:rPr>
          <w:rFonts w:ascii="新宋体" w:hAnsi="新宋体" w:eastAsia="新宋体"/>
          <w:b/>
          <w:sz w:val="22"/>
          <w:szCs w:val="22"/>
        </w:rPr>
      </w:pPr>
      <w:r>
        <w:rPr>
          <w:rFonts w:hint="eastAsia" w:ascii="新宋体" w:hAnsi="新宋体" w:eastAsia="新宋体"/>
          <w:b/>
          <w:sz w:val="22"/>
          <w:szCs w:val="22"/>
        </w:rPr>
        <w:t>2、</w:t>
      </w:r>
      <w:r>
        <w:rPr>
          <w:rFonts w:ascii="新宋体" w:hAnsi="新宋体" w:eastAsia="新宋体"/>
          <w:b/>
          <w:sz w:val="22"/>
          <w:szCs w:val="22"/>
        </w:rPr>
        <w:t>商务</w:t>
      </w:r>
      <w:r>
        <w:rPr>
          <w:rFonts w:hint="eastAsia" w:ascii="新宋体" w:hAnsi="新宋体" w:eastAsia="新宋体"/>
          <w:b/>
          <w:sz w:val="22"/>
          <w:szCs w:val="22"/>
        </w:rPr>
        <w:t>评分（30分）：</w:t>
      </w:r>
    </w:p>
    <w:p>
      <w:pPr>
        <w:spacing w:line="460" w:lineRule="exact"/>
        <w:ind w:firstLine="541" w:firstLineChars="245"/>
        <w:rPr>
          <w:rFonts w:ascii="新宋体" w:hAnsi="新宋体" w:eastAsia="新宋体"/>
          <w:b/>
          <w:bCs/>
          <w:sz w:val="22"/>
          <w:szCs w:val="22"/>
        </w:rPr>
      </w:pPr>
      <w:r>
        <w:rPr>
          <w:rFonts w:hint="eastAsia" w:ascii="新宋体" w:hAnsi="新宋体" w:eastAsia="新宋体"/>
          <w:b/>
          <w:bCs/>
          <w:sz w:val="22"/>
          <w:szCs w:val="22"/>
        </w:rPr>
        <w:t>商务分为满分30分，满足招标文件要求且投标报价（折扣率）最低的为评标基准价（折扣率），其余投标人投标报价（折扣率）与该评标基准价（折扣率）对比，计算出商务评分值（保留小数2位）：</w:t>
      </w:r>
    </w:p>
    <w:p>
      <w:pPr>
        <w:numPr>
          <w:ilvl w:val="0"/>
          <w:numId w:val="1"/>
        </w:numPr>
        <w:spacing w:line="460" w:lineRule="exact"/>
        <w:ind w:firstLine="541" w:firstLineChars="245"/>
        <w:rPr>
          <w:rFonts w:ascii="新宋体" w:hAnsi="新宋体" w:eastAsia="新宋体"/>
          <w:b/>
          <w:bCs/>
          <w:sz w:val="22"/>
          <w:szCs w:val="22"/>
        </w:rPr>
      </w:pPr>
      <w:r>
        <w:rPr>
          <w:rFonts w:hint="eastAsia" w:ascii="新宋体" w:hAnsi="新宋体" w:eastAsia="新宋体"/>
          <w:b/>
          <w:bCs/>
          <w:sz w:val="22"/>
          <w:szCs w:val="22"/>
        </w:rPr>
        <w:t>投标人的价格分按以下公式计算：</w:t>
      </w:r>
    </w:p>
    <w:p>
      <w:pPr>
        <w:spacing w:line="460" w:lineRule="exact"/>
        <w:ind w:firstLine="541" w:firstLineChars="245"/>
        <w:rPr>
          <w:rFonts w:ascii="新宋体" w:hAnsi="新宋体" w:eastAsia="新宋体"/>
          <w:b/>
          <w:bCs/>
          <w:sz w:val="22"/>
          <w:szCs w:val="22"/>
        </w:rPr>
      </w:pPr>
      <w:r>
        <w:rPr>
          <w:rFonts w:hint="eastAsia" w:ascii="新宋体" w:hAnsi="新宋体" w:eastAsia="新宋体"/>
          <w:b/>
          <w:bCs/>
          <w:sz w:val="22"/>
          <w:szCs w:val="22"/>
        </w:rPr>
        <w:t xml:space="preserve">   投标报价得分=【评标基准价（折扣率）/投标人的投标报价（折扣率）】×30% ×100</w:t>
      </w:r>
    </w:p>
    <w:p>
      <w:pPr>
        <w:spacing w:line="460" w:lineRule="exact"/>
        <w:ind w:firstLine="539" w:firstLineChars="245"/>
        <w:rPr>
          <w:rFonts w:ascii="新宋体" w:hAnsi="新宋体" w:eastAsia="新宋体"/>
          <w:b/>
          <w:bCs/>
          <w:sz w:val="22"/>
          <w:szCs w:val="22"/>
          <w:u w:val="single"/>
        </w:rPr>
      </w:pPr>
      <w:r>
        <w:rPr>
          <w:rFonts w:hint="eastAsia" w:ascii="新宋体" w:hAnsi="新宋体" w:eastAsia="新宋体" w:cs="新宋体"/>
          <w:sz w:val="22"/>
          <w:szCs w:val="22"/>
          <w:u w:val="single"/>
        </w:rPr>
        <w:t>▲</w:t>
      </w:r>
      <w:r>
        <w:rPr>
          <w:rFonts w:hint="eastAsia" w:ascii="新宋体" w:hAnsi="新宋体" w:eastAsia="新宋体"/>
          <w:b/>
          <w:bCs/>
          <w:sz w:val="22"/>
          <w:szCs w:val="22"/>
          <w:u w:val="single"/>
        </w:rPr>
        <w:t>投标人的投标报价（折扣率）</w:t>
      </w:r>
      <w:r>
        <w:rPr>
          <w:rFonts w:hint="eastAsia" w:ascii="新宋体" w:hAnsi="新宋体" w:eastAsia="新宋体" w:cs="新宋体"/>
          <w:b/>
          <w:bCs/>
          <w:sz w:val="22"/>
          <w:szCs w:val="22"/>
          <w:u w:val="single"/>
        </w:rPr>
        <w:t>≤70%，否则按无效标处理。</w:t>
      </w:r>
    </w:p>
    <w:p>
      <w:pPr>
        <w:spacing w:line="460" w:lineRule="exact"/>
        <w:ind w:firstLine="539" w:firstLineChars="245"/>
        <w:outlineLvl w:val="1"/>
        <w:rPr>
          <w:rFonts w:ascii="新宋体" w:hAnsi="新宋体" w:eastAsia="新宋体"/>
          <w:sz w:val="22"/>
          <w:szCs w:val="22"/>
        </w:rPr>
      </w:pPr>
      <w:r>
        <w:rPr>
          <w:rFonts w:hint="eastAsia" w:ascii="新宋体" w:hAnsi="新宋体" w:eastAsia="新宋体"/>
          <w:sz w:val="22"/>
          <w:szCs w:val="22"/>
        </w:rPr>
        <w:t>3、有效投标人的综合得分为技术分和商务（报价）分的总和。</w:t>
      </w:r>
    </w:p>
    <w:p>
      <w:pPr>
        <w:spacing w:line="460" w:lineRule="exact"/>
        <w:ind w:firstLine="539" w:firstLineChars="245"/>
        <w:rPr>
          <w:rFonts w:hint="eastAsia" w:ascii="新宋体" w:hAnsi="新宋体" w:eastAsia="新宋体"/>
          <w:sz w:val="22"/>
          <w:szCs w:val="22"/>
        </w:rPr>
      </w:pPr>
    </w:p>
    <w:p>
      <w:pPr>
        <w:spacing w:line="460" w:lineRule="exact"/>
        <w:ind w:firstLine="539" w:firstLineChars="245"/>
        <w:rPr>
          <w:rFonts w:hint="eastAsia" w:ascii="新宋体" w:hAnsi="新宋体" w:eastAsia="新宋体"/>
          <w:sz w:val="22"/>
          <w:szCs w:val="22"/>
        </w:rPr>
      </w:pPr>
    </w:p>
    <w:p>
      <w:pPr>
        <w:spacing w:line="460" w:lineRule="exact"/>
        <w:ind w:firstLine="539" w:firstLineChars="245"/>
        <w:rPr>
          <w:rFonts w:hint="eastAsia" w:ascii="新宋体" w:hAnsi="新宋体" w:eastAsia="新宋体"/>
          <w:sz w:val="22"/>
          <w:szCs w:val="22"/>
        </w:rPr>
      </w:pPr>
    </w:p>
    <w:p>
      <w:pPr>
        <w:spacing w:line="460" w:lineRule="exact"/>
        <w:ind w:firstLine="539" w:firstLineChars="245"/>
        <w:rPr>
          <w:rFonts w:hint="eastAsia" w:ascii="新宋体" w:hAnsi="新宋体" w:eastAsia="新宋体"/>
          <w:sz w:val="22"/>
          <w:szCs w:val="22"/>
        </w:rPr>
      </w:pPr>
    </w:p>
    <w:p>
      <w:pPr>
        <w:suppressAutoHyphens/>
        <w:snapToGrid w:val="0"/>
        <w:spacing w:line="360" w:lineRule="auto"/>
        <w:jc w:val="right"/>
        <w:rPr>
          <w:rFonts w:asciiTheme="minorEastAsia" w:hAnsiTheme="minorEastAsia"/>
          <w:sz w:val="28"/>
          <w:szCs w:val="28"/>
        </w:rPr>
      </w:pPr>
      <w:r>
        <w:rPr>
          <w:rFonts w:hint="eastAsia" w:asciiTheme="minorEastAsia" w:hAnsiTheme="minorEastAsia"/>
        </w:rPr>
        <w:t xml:space="preserve">                                                        </w:t>
      </w:r>
      <w:r>
        <w:rPr>
          <w:rFonts w:hint="eastAsia" w:asciiTheme="minorEastAsia" w:hAnsi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940"/>
    <w:rsid w:val="00344017"/>
    <w:rsid w:val="00483134"/>
    <w:rsid w:val="005B62C9"/>
    <w:rsid w:val="006F7940"/>
    <w:rsid w:val="00881384"/>
    <w:rsid w:val="00993E4A"/>
    <w:rsid w:val="00B862AF"/>
    <w:rsid w:val="00C2699E"/>
    <w:rsid w:val="00E51C35"/>
    <w:rsid w:val="203F7128"/>
    <w:rsid w:val="40E76A53"/>
    <w:rsid w:val="4E7B1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sz w:val="18"/>
      <w:szCs w:val="20"/>
    </w:rPr>
  </w:style>
  <w:style w:type="paragraph" w:styleId="3">
    <w:name w:val="Plain Text"/>
    <w:basedOn w:val="1"/>
    <w:link w:val="12"/>
    <w:uiPriority w:val="0"/>
    <w:pPr>
      <w:suppressAutoHyphens/>
    </w:pPr>
    <w:rPr>
      <w:rFonts w:hint="eastAsia" w:ascii="宋体" w:hAnsi="宋体" w:eastAsia="宋体" w:cs="Courier New"/>
      <w:kern w:val="1"/>
      <w:szCs w:val="21"/>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纯文本 Char"/>
    <w:basedOn w:val="8"/>
    <w:link w:val="3"/>
    <w:qFormat/>
    <w:uiPriority w:val="0"/>
    <w:rPr>
      <w:rFonts w:ascii="宋体" w:hAnsi="宋体" w:eastAsia="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72</Words>
  <Characters>413</Characters>
  <Lines>3</Lines>
  <Paragraphs>1</Paragraphs>
  <TotalTime>3</TotalTime>
  <ScaleCrop>false</ScaleCrop>
  <LinksUpToDate>false</LinksUpToDate>
  <CharactersWithSpaces>484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2018-08-11T08:59:00Z</dcterms:created>
  <dc:creator>User</dc:creator>
  <cp:lastModifiedBy>Administrator</cp:lastModifiedBy>
  <dcterms:modified xsi:type="dcterms:W3CDTF">2021-11-01T07:45:04Z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966BF7DE27434363BE5E7D6906C0E03C</vt:lpwstr>
  </property>
</Properties>
</file>