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B22" w:rsidRDefault="00657E85">
      <w:pPr>
        <w:spacing w:line="460" w:lineRule="exact"/>
        <w:outlineLvl w:val="2"/>
        <w:rPr>
          <w:rFonts w:ascii="新宋体" w:eastAsia="新宋体" w:hAnsi="新宋体"/>
          <w:b/>
          <w:sz w:val="22"/>
        </w:rPr>
      </w:pPr>
      <w:r>
        <w:rPr>
          <w:rFonts w:ascii="新宋体" w:eastAsia="新宋体" w:hAnsi="新宋体" w:hint="eastAsia"/>
          <w:b/>
          <w:sz w:val="22"/>
        </w:rPr>
        <w:t>三、</w:t>
      </w:r>
      <w:bookmarkStart w:id="0" w:name="_Hlk44155142"/>
      <w:r>
        <w:rPr>
          <w:rFonts w:ascii="新宋体" w:eastAsia="新宋体" w:hAnsi="新宋体" w:hint="eastAsia"/>
          <w:b/>
          <w:sz w:val="22"/>
        </w:rPr>
        <w:t>维护服务内容</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1、中标供应商为我院提供院内当前使用的本项目维护</w:t>
      </w:r>
      <w:r>
        <w:rPr>
          <w:rFonts w:ascii="新宋体" w:eastAsia="新宋体" w:hAnsi="新宋体"/>
          <w:bCs/>
          <w:sz w:val="22"/>
        </w:rPr>
        <w:t>范围</w:t>
      </w:r>
      <w:r>
        <w:rPr>
          <w:rFonts w:ascii="新宋体" w:eastAsia="新宋体" w:hAnsi="新宋体" w:hint="eastAsia"/>
          <w:bCs/>
          <w:sz w:val="22"/>
        </w:rPr>
        <w:t>正常运行的技术支持服务。</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2、中标供应商免费为我院提供系统使用疑难问题解答服务。</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3、中标供应商负责我院当前使用的本项目维护</w:t>
      </w:r>
      <w:r>
        <w:rPr>
          <w:rFonts w:ascii="新宋体" w:eastAsia="新宋体" w:hAnsi="新宋体"/>
          <w:bCs/>
          <w:sz w:val="22"/>
        </w:rPr>
        <w:t>范围</w:t>
      </w:r>
      <w:r>
        <w:rPr>
          <w:rFonts w:ascii="新宋体" w:eastAsia="新宋体" w:hAnsi="新宋体" w:hint="eastAsia"/>
          <w:bCs/>
          <w:sz w:val="22"/>
        </w:rPr>
        <w:t>内硬件的免费维修。</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4、我院当前使用的本项目维护</w:t>
      </w:r>
      <w:r>
        <w:rPr>
          <w:rFonts w:ascii="新宋体" w:eastAsia="新宋体" w:hAnsi="新宋体"/>
          <w:bCs/>
          <w:sz w:val="22"/>
        </w:rPr>
        <w:t>范围</w:t>
      </w:r>
      <w:r>
        <w:rPr>
          <w:rFonts w:ascii="新宋体" w:eastAsia="新宋体" w:hAnsi="新宋体" w:hint="eastAsia"/>
          <w:bCs/>
          <w:sz w:val="22"/>
        </w:rPr>
        <w:t>内硬件无法维修需要更换配件时，中标供应商提供</w:t>
      </w:r>
      <w:r>
        <w:rPr>
          <w:rFonts w:ascii="新宋体" w:eastAsia="新宋体" w:hAnsi="新宋体"/>
          <w:bCs/>
          <w:sz w:val="22"/>
        </w:rPr>
        <w:t>免费</w:t>
      </w:r>
      <w:r>
        <w:rPr>
          <w:rFonts w:ascii="新宋体" w:eastAsia="新宋体" w:hAnsi="新宋体" w:hint="eastAsia"/>
          <w:bCs/>
          <w:sz w:val="22"/>
        </w:rPr>
        <w:t>维修及免费</w:t>
      </w:r>
      <w:r>
        <w:rPr>
          <w:rFonts w:ascii="新宋体" w:eastAsia="新宋体" w:hAnsi="新宋体"/>
          <w:bCs/>
          <w:sz w:val="22"/>
        </w:rPr>
        <w:t>更换</w:t>
      </w:r>
      <w:r>
        <w:rPr>
          <w:rFonts w:ascii="新宋体" w:eastAsia="新宋体" w:hAnsi="新宋体" w:hint="eastAsia"/>
          <w:bCs/>
          <w:sz w:val="22"/>
        </w:rPr>
        <w:t>全新的原装</w:t>
      </w:r>
      <w:r>
        <w:rPr>
          <w:rFonts w:ascii="新宋体" w:eastAsia="新宋体" w:hAnsi="新宋体"/>
          <w:bCs/>
          <w:sz w:val="22"/>
        </w:rPr>
        <w:t>配件</w:t>
      </w:r>
      <w:r>
        <w:rPr>
          <w:rFonts w:ascii="新宋体" w:eastAsia="新宋体" w:hAnsi="新宋体" w:hint="eastAsia"/>
          <w:bCs/>
          <w:sz w:val="22"/>
        </w:rPr>
        <w:t>。</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5、我院对当前使用的本项目维护</w:t>
      </w:r>
      <w:r>
        <w:rPr>
          <w:rFonts w:ascii="新宋体" w:eastAsia="新宋体" w:hAnsi="新宋体"/>
          <w:bCs/>
          <w:sz w:val="22"/>
        </w:rPr>
        <w:t>范围</w:t>
      </w:r>
      <w:r>
        <w:rPr>
          <w:rFonts w:ascii="新宋体" w:eastAsia="新宋体" w:hAnsi="新宋体" w:hint="eastAsia"/>
          <w:bCs/>
          <w:sz w:val="22"/>
        </w:rPr>
        <w:t>进行整改时，中标供应商免费提供系统整改方案及技术咨询。</w:t>
      </w:r>
    </w:p>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hint="eastAsia"/>
          <w:bCs/>
          <w:sz w:val="22"/>
        </w:rPr>
        <w:t xml:space="preserve">     6、提供</w:t>
      </w:r>
      <w:r>
        <w:rPr>
          <w:rFonts w:ascii="新宋体" w:eastAsia="新宋体" w:hAnsi="新宋体" w:cs="新宋体" w:hint="eastAsia"/>
          <w:sz w:val="22"/>
          <w:szCs w:val="22"/>
        </w:rPr>
        <w:t>运维平台：具备报修端（扫码报修功能、查看维修状态功能、服务评价功能）；维修端：具备维修抢单、派单功能、用户定位、具备扫码维修、审核</w:t>
      </w:r>
      <w:r w:rsidR="0022276A">
        <w:rPr>
          <w:rFonts w:ascii="新宋体" w:eastAsia="新宋体" w:hAnsi="新宋体" w:cs="新宋体" w:hint="eastAsia"/>
          <w:sz w:val="22"/>
          <w:szCs w:val="22"/>
        </w:rPr>
        <w:t>、及自动推送功能；管理端：具备用户管理、设备管理、维修订单管理</w:t>
      </w:r>
      <w:r>
        <w:rPr>
          <w:rFonts w:ascii="新宋体" w:eastAsia="新宋体" w:hAnsi="新宋体" w:cs="新宋体" w:hint="eastAsia"/>
          <w:sz w:val="22"/>
          <w:szCs w:val="22"/>
        </w:rPr>
        <w:t>等功能</w:t>
      </w:r>
    </w:p>
    <w:p w:rsidR="005D1B22" w:rsidRDefault="00657E85">
      <w:pPr>
        <w:tabs>
          <w:tab w:val="left" w:pos="420"/>
          <w:tab w:val="left" w:pos="1155"/>
        </w:tabs>
        <w:spacing w:line="460" w:lineRule="exact"/>
        <w:ind w:firstLineChars="250" w:firstLine="550"/>
        <w:rPr>
          <w:rFonts w:ascii="新宋体" w:eastAsia="新宋体" w:hAnsi="新宋体" w:cs="新宋体"/>
          <w:sz w:val="22"/>
          <w:szCs w:val="22"/>
          <w:u w:val="single"/>
        </w:rPr>
      </w:pPr>
      <w:r>
        <w:rPr>
          <w:rFonts w:ascii="新宋体" w:eastAsia="新宋体" w:hAnsi="新宋体" w:cs="新宋体" w:hint="eastAsia"/>
          <w:bCs/>
          <w:sz w:val="22"/>
          <w:szCs w:val="22"/>
          <w:highlight w:val="yellow"/>
          <w:u w:val="single"/>
        </w:rPr>
        <w:t xml:space="preserve">7、▲ </w:t>
      </w:r>
      <w:r>
        <w:rPr>
          <w:rFonts w:ascii="新宋体" w:eastAsia="新宋体" w:hAnsi="新宋体" w:cs="新宋体" w:hint="eastAsia"/>
          <w:sz w:val="22"/>
          <w:szCs w:val="22"/>
          <w:highlight w:val="yellow"/>
          <w:u w:val="single"/>
        </w:rPr>
        <w:t>免费配合甲方并提供排队</w:t>
      </w:r>
      <w:r>
        <w:rPr>
          <w:rFonts w:ascii="新宋体" w:eastAsia="新宋体" w:hAnsi="新宋体" w:cs="新宋体"/>
          <w:sz w:val="22"/>
          <w:szCs w:val="22"/>
          <w:highlight w:val="yellow"/>
          <w:u w:val="single"/>
        </w:rPr>
        <w:t>呼叫系统</w:t>
      </w:r>
      <w:r>
        <w:rPr>
          <w:rFonts w:ascii="新宋体" w:eastAsia="新宋体" w:hAnsi="新宋体" w:cs="新宋体" w:hint="eastAsia"/>
          <w:sz w:val="22"/>
          <w:szCs w:val="22"/>
          <w:highlight w:val="yellow"/>
          <w:u w:val="single"/>
        </w:rPr>
        <w:t>与其他系统的接口，</w:t>
      </w:r>
      <w:r>
        <w:rPr>
          <w:rFonts w:ascii="新宋体" w:eastAsia="新宋体" w:hAnsi="新宋体" w:cs="新宋体"/>
          <w:sz w:val="22"/>
          <w:szCs w:val="22"/>
          <w:highlight w:val="yellow"/>
          <w:u w:val="single"/>
        </w:rPr>
        <w:t>需要提供承诺书</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8、中标供应商提供每年巡检2次。故障响应时间30分钟内，维护人员2小时内到达现场，24小时内解决故障，因天气等不可抗力和人为故意损坏引起故障因素除外。</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9、中标供应商为我院提供免费的7*24小时电话技术支持及远程维护。如果完全是硬件问题，2日内未能解决的，中标供应商负责提供备用设备，保证不影响我院的正常工作。</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10、中标供应商应积极响应并及时修改我院由于业务需要而提出的完善性维护需求。</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11、中标供应商应负责我院目前使用的本项目维护</w:t>
      </w:r>
      <w:r>
        <w:rPr>
          <w:rFonts w:ascii="新宋体" w:eastAsia="新宋体" w:hAnsi="新宋体"/>
          <w:bCs/>
          <w:sz w:val="22"/>
        </w:rPr>
        <w:t>范围</w:t>
      </w:r>
      <w:r>
        <w:rPr>
          <w:rFonts w:ascii="新宋体" w:eastAsia="新宋体" w:hAnsi="新宋体" w:hint="eastAsia"/>
          <w:bCs/>
          <w:sz w:val="22"/>
        </w:rPr>
        <w:t>做技术支持售后服务。</w:t>
      </w:r>
    </w:p>
    <w:p w:rsidR="005D1B22" w:rsidRDefault="00657E85">
      <w:pPr>
        <w:spacing w:line="460" w:lineRule="exact"/>
        <w:ind w:firstLineChars="245" w:firstLine="539"/>
        <w:rPr>
          <w:rFonts w:ascii="新宋体" w:eastAsia="新宋体" w:hAnsi="新宋体"/>
          <w:bCs/>
          <w:sz w:val="22"/>
        </w:rPr>
      </w:pPr>
      <w:r>
        <w:rPr>
          <w:rFonts w:ascii="新宋体" w:eastAsia="新宋体" w:hAnsi="新宋体" w:hint="eastAsia"/>
          <w:bCs/>
          <w:sz w:val="22"/>
        </w:rPr>
        <w:t>12、中标供应商需确保显示屏在正确</w:t>
      </w:r>
      <w:bookmarkStart w:id="1" w:name="_GoBack"/>
      <w:bookmarkEnd w:id="1"/>
      <w:r>
        <w:rPr>
          <w:rFonts w:ascii="新宋体" w:eastAsia="新宋体" w:hAnsi="新宋体" w:hint="eastAsia"/>
          <w:bCs/>
          <w:sz w:val="22"/>
        </w:rPr>
        <w:t>的位置稳定使用。(因各类环境因素导致的屏幕倾斜、脱落，需及时纠正)。</w:t>
      </w:r>
    </w:p>
    <w:p w:rsidR="00BF38D8" w:rsidRPr="00BF38D8" w:rsidRDefault="00B46586" w:rsidP="00BF38D8">
      <w:pPr>
        <w:spacing w:line="460" w:lineRule="exact"/>
        <w:ind w:firstLineChars="245" w:firstLine="539"/>
        <w:rPr>
          <w:rFonts w:ascii="新宋体" w:eastAsia="新宋体" w:hAnsi="新宋体"/>
          <w:bCs/>
          <w:sz w:val="22"/>
        </w:rPr>
      </w:pPr>
      <w:r w:rsidRPr="00B22404">
        <w:rPr>
          <w:rFonts w:ascii="新宋体" w:eastAsia="新宋体" w:hAnsi="新宋体" w:hint="eastAsia"/>
          <w:bCs/>
          <w:sz w:val="22"/>
        </w:rPr>
        <w:t>1</w:t>
      </w:r>
      <w:r w:rsidR="00BF38D8">
        <w:rPr>
          <w:rFonts w:ascii="新宋体" w:eastAsia="新宋体" w:hAnsi="新宋体" w:hint="eastAsia"/>
          <w:bCs/>
          <w:sz w:val="22"/>
        </w:rPr>
        <w:t>3</w:t>
      </w:r>
      <w:r w:rsidRPr="00B22404">
        <w:rPr>
          <w:rFonts w:ascii="新宋体" w:eastAsia="新宋体" w:hAnsi="新宋体" w:hint="eastAsia"/>
          <w:bCs/>
          <w:sz w:val="22"/>
        </w:rPr>
        <w:t>、服务期限</w:t>
      </w:r>
      <w:r w:rsidRPr="00B22404">
        <w:rPr>
          <w:rFonts w:ascii="新宋体" w:eastAsia="新宋体" w:hAnsi="新宋体"/>
          <w:bCs/>
          <w:sz w:val="22"/>
        </w:rPr>
        <w:t>一年，自合同签订之日起生效。</w:t>
      </w:r>
      <w:r w:rsidRPr="00B22404">
        <w:rPr>
          <w:rFonts w:ascii="新宋体" w:eastAsia="新宋体" w:hAnsi="新宋体" w:hint="eastAsia"/>
          <w:bCs/>
          <w:sz w:val="22"/>
        </w:rPr>
        <w:t>在合同期内，招标人对中标供应商的服务表示满意的话，经双方协商无异议的情况下，可以续签一年，最多</w:t>
      </w:r>
      <w:r w:rsidRPr="00B22404">
        <w:rPr>
          <w:rFonts w:ascii="新宋体" w:eastAsia="新宋体" w:hAnsi="新宋体"/>
          <w:bCs/>
          <w:sz w:val="22"/>
        </w:rPr>
        <w:t>续签</w:t>
      </w:r>
      <w:r w:rsidRPr="00B22404">
        <w:rPr>
          <w:rFonts w:ascii="新宋体" w:eastAsia="新宋体" w:hAnsi="新宋体" w:hint="eastAsia"/>
          <w:bCs/>
          <w:sz w:val="22"/>
        </w:rPr>
        <w:t>1次。</w:t>
      </w:r>
      <w:bookmarkStart w:id="2" w:name="_Hlk44155495"/>
      <w:bookmarkEnd w:id="0"/>
    </w:p>
    <w:p w:rsidR="00BF38D8" w:rsidRDefault="00BF38D8">
      <w:pPr>
        <w:spacing w:line="460" w:lineRule="exact"/>
        <w:outlineLvl w:val="2"/>
        <w:rPr>
          <w:rFonts w:ascii="新宋体" w:eastAsia="新宋体" w:hAnsi="新宋体"/>
          <w:b/>
          <w:sz w:val="22"/>
        </w:rPr>
      </w:pPr>
    </w:p>
    <w:p w:rsidR="00BF38D8" w:rsidRDefault="00BF38D8">
      <w:pPr>
        <w:spacing w:line="460" w:lineRule="exact"/>
        <w:outlineLvl w:val="2"/>
        <w:rPr>
          <w:rFonts w:ascii="新宋体" w:eastAsia="新宋体" w:hAnsi="新宋体"/>
          <w:b/>
          <w:sz w:val="22"/>
        </w:rPr>
      </w:pPr>
    </w:p>
    <w:p w:rsidR="00BF38D8" w:rsidRDefault="00BF38D8">
      <w:pPr>
        <w:spacing w:line="460" w:lineRule="exact"/>
        <w:outlineLvl w:val="2"/>
        <w:rPr>
          <w:rFonts w:ascii="新宋体" w:eastAsia="新宋体" w:hAnsi="新宋体"/>
          <w:b/>
          <w:sz w:val="22"/>
        </w:rPr>
      </w:pPr>
    </w:p>
    <w:p w:rsidR="00BF38D8" w:rsidRDefault="00BF38D8">
      <w:pPr>
        <w:spacing w:line="460" w:lineRule="exact"/>
        <w:outlineLvl w:val="2"/>
        <w:rPr>
          <w:rFonts w:ascii="新宋体" w:eastAsia="新宋体" w:hAnsi="新宋体"/>
          <w:b/>
          <w:sz w:val="22"/>
        </w:rPr>
      </w:pPr>
    </w:p>
    <w:p w:rsidR="00BF38D8" w:rsidRDefault="00BF38D8">
      <w:pPr>
        <w:spacing w:line="460" w:lineRule="exact"/>
        <w:outlineLvl w:val="2"/>
        <w:rPr>
          <w:rFonts w:ascii="新宋体" w:eastAsia="新宋体" w:hAnsi="新宋体"/>
          <w:b/>
          <w:sz w:val="22"/>
        </w:rPr>
      </w:pPr>
    </w:p>
    <w:p w:rsidR="00BF38D8" w:rsidRDefault="00BF38D8">
      <w:pPr>
        <w:spacing w:line="460" w:lineRule="exact"/>
        <w:outlineLvl w:val="2"/>
        <w:rPr>
          <w:rFonts w:ascii="新宋体" w:eastAsia="新宋体" w:hAnsi="新宋体"/>
          <w:b/>
          <w:sz w:val="22"/>
        </w:rPr>
      </w:pPr>
    </w:p>
    <w:p w:rsidR="005D1B22" w:rsidRDefault="00657E85">
      <w:pPr>
        <w:spacing w:line="460" w:lineRule="exact"/>
        <w:outlineLvl w:val="2"/>
        <w:rPr>
          <w:rFonts w:ascii="新宋体" w:eastAsia="新宋体" w:hAnsi="新宋体"/>
          <w:b/>
          <w:sz w:val="22"/>
        </w:rPr>
      </w:pPr>
      <w:r>
        <w:rPr>
          <w:rFonts w:ascii="新宋体" w:eastAsia="新宋体" w:hAnsi="新宋体" w:hint="eastAsia"/>
          <w:b/>
          <w:sz w:val="22"/>
        </w:rPr>
        <w:t>四、日常维护巡检内容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250"/>
        <w:gridCol w:w="2505"/>
      </w:tblGrid>
      <w:tr w:rsidR="005D1B22">
        <w:trPr>
          <w:trHeight w:val="461"/>
        </w:trPr>
        <w:tc>
          <w:tcPr>
            <w:tcW w:w="1414" w:type="dxa"/>
          </w:tcPr>
          <w:p w:rsidR="005D1B22" w:rsidRDefault="00657E85">
            <w:pPr>
              <w:spacing w:line="500" w:lineRule="exact"/>
              <w:jc w:val="center"/>
              <w:rPr>
                <w:rFonts w:ascii="新宋体" w:eastAsia="新宋体" w:hAnsi="新宋体" w:cs="新宋体"/>
                <w:b/>
                <w:bCs/>
                <w:sz w:val="22"/>
                <w:szCs w:val="22"/>
              </w:rPr>
            </w:pPr>
            <w:r>
              <w:rPr>
                <w:rFonts w:ascii="新宋体" w:eastAsia="新宋体" w:hAnsi="新宋体" w:cs="新宋体" w:hint="eastAsia"/>
                <w:b/>
                <w:bCs/>
                <w:sz w:val="22"/>
                <w:szCs w:val="22"/>
              </w:rPr>
              <w:t>巡检次数</w:t>
            </w:r>
          </w:p>
        </w:tc>
        <w:tc>
          <w:tcPr>
            <w:tcW w:w="5250" w:type="dxa"/>
          </w:tcPr>
          <w:p w:rsidR="005D1B22" w:rsidRDefault="00657E85">
            <w:pPr>
              <w:spacing w:line="500" w:lineRule="exact"/>
              <w:jc w:val="center"/>
              <w:rPr>
                <w:rFonts w:ascii="新宋体" w:eastAsia="新宋体" w:hAnsi="新宋体" w:cs="新宋体"/>
                <w:b/>
                <w:bCs/>
                <w:sz w:val="22"/>
                <w:szCs w:val="22"/>
              </w:rPr>
            </w:pPr>
            <w:r>
              <w:rPr>
                <w:rFonts w:ascii="新宋体" w:eastAsia="新宋体" w:hAnsi="新宋体" w:cs="新宋体" w:hint="eastAsia"/>
                <w:b/>
                <w:bCs/>
                <w:sz w:val="22"/>
                <w:szCs w:val="22"/>
              </w:rPr>
              <w:t>巡检内容</w:t>
            </w:r>
          </w:p>
        </w:tc>
        <w:tc>
          <w:tcPr>
            <w:tcW w:w="2505" w:type="dxa"/>
          </w:tcPr>
          <w:p w:rsidR="005D1B22" w:rsidRDefault="00657E85">
            <w:pPr>
              <w:spacing w:line="500" w:lineRule="exact"/>
              <w:jc w:val="center"/>
              <w:rPr>
                <w:rFonts w:ascii="新宋体" w:eastAsia="新宋体" w:hAnsi="新宋体" w:cs="新宋体"/>
                <w:b/>
                <w:bCs/>
                <w:sz w:val="22"/>
                <w:szCs w:val="22"/>
              </w:rPr>
            </w:pPr>
            <w:r>
              <w:rPr>
                <w:rFonts w:ascii="新宋体" w:eastAsia="新宋体" w:hAnsi="新宋体" w:cs="新宋体" w:hint="eastAsia"/>
                <w:b/>
                <w:bCs/>
                <w:sz w:val="22"/>
                <w:szCs w:val="22"/>
              </w:rPr>
              <w:t>巡检项目</w:t>
            </w:r>
          </w:p>
        </w:tc>
      </w:tr>
      <w:tr w:rsidR="005D1B22">
        <w:trPr>
          <w:trHeight w:val="2241"/>
        </w:trPr>
        <w:tc>
          <w:tcPr>
            <w:tcW w:w="1414" w:type="dxa"/>
            <w:vAlign w:val="center"/>
          </w:tcPr>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全年2次定期巡检</w:t>
            </w:r>
          </w:p>
        </w:tc>
        <w:tc>
          <w:tcPr>
            <w:tcW w:w="5250" w:type="dxa"/>
            <w:vAlign w:val="center"/>
          </w:tcPr>
          <w:p w:rsidR="005D1B22" w:rsidRDefault="00657E85">
            <w:pPr>
              <w:spacing w:line="500" w:lineRule="exact"/>
              <w:rPr>
                <w:rFonts w:ascii="新宋体" w:eastAsia="新宋体" w:hAnsi="新宋体" w:cs="新宋体"/>
                <w:sz w:val="22"/>
                <w:szCs w:val="22"/>
              </w:rPr>
            </w:pPr>
            <w:bookmarkStart w:id="3" w:name="_Hlk44582327"/>
            <w:r>
              <w:rPr>
                <w:rFonts w:ascii="新宋体" w:eastAsia="新宋体" w:hAnsi="新宋体" w:cs="新宋体" w:hint="eastAsia"/>
                <w:sz w:val="22"/>
                <w:szCs w:val="22"/>
              </w:rPr>
              <w:t>1、检查服务器端数据库冗余情况，及时排除问题。</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2、与相关科室应用人员沟通使用状况，排除隐患产生。</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3、检查设备终端以及其他外设设备。</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4、填写巡检检查项目表</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5、对相关使用人员进行日常维护培训</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6、每次巡检后应向院方提供巡检报告</w:t>
            </w:r>
            <w:bookmarkEnd w:id="3"/>
          </w:p>
        </w:tc>
        <w:tc>
          <w:tcPr>
            <w:tcW w:w="2505" w:type="dxa"/>
            <w:vAlign w:val="center"/>
          </w:tcPr>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服务端软件：</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1、分诊叫号子系统平台</w:t>
            </w:r>
          </w:p>
          <w:p w:rsidR="005D1B22" w:rsidRDefault="00657E85">
            <w:pPr>
              <w:spacing w:line="500" w:lineRule="exact"/>
              <w:rPr>
                <w:rFonts w:ascii="新宋体" w:eastAsia="新宋体" w:hAnsi="新宋体" w:cs="新宋体"/>
                <w:sz w:val="22"/>
                <w:szCs w:val="22"/>
              </w:rPr>
            </w:pPr>
            <w:r>
              <w:rPr>
                <w:rFonts w:ascii="新宋体" w:eastAsia="新宋体" w:hAnsi="新宋体" w:cs="新宋体" w:hint="eastAsia"/>
                <w:sz w:val="22"/>
                <w:szCs w:val="22"/>
              </w:rPr>
              <w:t>2、信息宣教子系统平台</w:t>
            </w:r>
          </w:p>
          <w:p w:rsidR="005D1B22" w:rsidRDefault="005D1B22">
            <w:pPr>
              <w:spacing w:line="500" w:lineRule="exact"/>
              <w:rPr>
                <w:rFonts w:ascii="新宋体" w:eastAsia="新宋体" w:hAnsi="新宋体" w:cs="新宋体"/>
                <w:sz w:val="22"/>
                <w:szCs w:val="22"/>
              </w:rPr>
            </w:pPr>
          </w:p>
        </w:tc>
      </w:tr>
      <w:bookmarkEnd w:id="2"/>
    </w:tbl>
    <w:p w:rsidR="005D1B22" w:rsidRDefault="005D1B22">
      <w:pPr>
        <w:spacing w:line="460" w:lineRule="exact"/>
        <w:ind w:firstLineChars="245" w:firstLine="541"/>
        <w:rPr>
          <w:rFonts w:ascii="新宋体" w:eastAsia="新宋体" w:hAnsi="新宋体" w:cs="新宋体"/>
          <w:b/>
          <w:sz w:val="22"/>
          <w:szCs w:val="22"/>
        </w:rPr>
      </w:pPr>
    </w:p>
    <w:p w:rsidR="005553F0" w:rsidRDefault="005553F0" w:rsidP="005553F0">
      <w:pPr>
        <w:spacing w:line="360" w:lineRule="auto"/>
        <w:rPr>
          <w:rFonts w:ascii="黑体" w:eastAsia="黑体"/>
          <w:b/>
          <w:sz w:val="30"/>
          <w:u w:val="single"/>
        </w:rPr>
      </w:pPr>
      <w:r>
        <w:rPr>
          <w:rFonts w:ascii="黑体" w:eastAsia="黑体" w:hint="eastAsia"/>
          <w:b/>
          <w:sz w:val="30"/>
          <w:u w:val="single"/>
          <w:lang w:val="zh-CN"/>
        </w:rPr>
        <w:t>设备清单数量</w:t>
      </w:r>
      <w:r>
        <w:rPr>
          <w:rFonts w:hint="eastAsia"/>
          <w:b/>
          <w:sz w:val="32"/>
          <w:szCs w:val="32"/>
          <w:u w:val="single"/>
        </w:rPr>
        <w:t>如下</w:t>
      </w:r>
      <w:r>
        <w:rPr>
          <w:rFonts w:ascii="黑体" w:eastAsia="黑体" w:hint="eastAsia"/>
          <w:b/>
          <w:sz w:val="30"/>
          <w:u w:val="single"/>
        </w:rPr>
        <w:t>：但不仅限于此清单，医院所有</w:t>
      </w:r>
      <w:r w:rsidRPr="00825666">
        <w:rPr>
          <w:rFonts w:ascii="黑体" w:eastAsia="黑体" w:hint="eastAsia"/>
          <w:b/>
          <w:sz w:val="30"/>
          <w:u w:val="single"/>
        </w:rPr>
        <w:t>北京神州视翰科技</w:t>
      </w:r>
      <w:r>
        <w:rPr>
          <w:rFonts w:ascii="黑体" w:eastAsia="黑体" w:hint="eastAsia"/>
          <w:b/>
          <w:sz w:val="30"/>
          <w:u w:val="single"/>
        </w:rPr>
        <w:t>生产的产品均在此份招标中。</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2831"/>
        <w:gridCol w:w="2664"/>
        <w:gridCol w:w="1279"/>
        <w:gridCol w:w="1765"/>
      </w:tblGrid>
      <w:tr w:rsidR="005553F0" w:rsidTr="00086B20">
        <w:trPr>
          <w:trHeight w:val="290"/>
        </w:trPr>
        <w:tc>
          <w:tcPr>
            <w:tcW w:w="8539" w:type="dxa"/>
            <w:gridSpan w:val="4"/>
            <w:tcBorders>
              <w:top w:val="single" w:sz="4" w:space="0" w:color="5B9BD5"/>
              <w:left w:val="single" w:sz="4" w:space="0" w:color="5B9BD5"/>
              <w:bottom w:val="single" w:sz="4" w:space="0" w:color="5B9BD5"/>
              <w:right w:val="single" w:sz="4" w:space="0" w:color="5B9BD5"/>
            </w:tcBorders>
            <w:shd w:val="clear" w:color="auto" w:fill="5B9BD5"/>
            <w:vAlign w:val="center"/>
          </w:tcPr>
          <w:p w:rsidR="005553F0" w:rsidRDefault="005553F0" w:rsidP="00086B20">
            <w:pPr>
              <w:widowControl/>
              <w:jc w:val="center"/>
              <w:rPr>
                <w:rFonts w:ascii="宋体" w:hAnsi="宋体" w:cs="宋体"/>
                <w:b/>
                <w:bCs/>
                <w:color w:val="FFFFFF"/>
                <w:kern w:val="0"/>
                <w:sz w:val="24"/>
              </w:rPr>
            </w:pPr>
            <w:r>
              <w:rPr>
                <w:rFonts w:ascii="宋体" w:hAnsi="宋体" w:cs="宋体" w:hint="eastAsia"/>
                <w:b/>
                <w:bCs/>
                <w:color w:val="FFFFFF"/>
                <w:kern w:val="0"/>
                <w:sz w:val="24"/>
              </w:rPr>
              <w:t>硬件部分</w:t>
            </w:r>
          </w:p>
        </w:tc>
      </w:tr>
      <w:tr w:rsidR="005553F0" w:rsidTr="00086B20">
        <w:trPr>
          <w:trHeight w:val="335"/>
        </w:trPr>
        <w:tc>
          <w:tcPr>
            <w:tcW w:w="2831"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设备名称</w:t>
            </w:r>
          </w:p>
        </w:tc>
        <w:tc>
          <w:tcPr>
            <w:tcW w:w="2664"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型号</w:t>
            </w:r>
          </w:p>
        </w:tc>
        <w:tc>
          <w:tcPr>
            <w:tcW w:w="1279"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单位</w:t>
            </w:r>
          </w:p>
        </w:tc>
        <w:tc>
          <w:tcPr>
            <w:tcW w:w="1765"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数量</w:t>
            </w:r>
          </w:p>
        </w:tc>
      </w:tr>
      <w:tr w:rsidR="005553F0" w:rsidTr="00086B20">
        <w:trPr>
          <w:trHeight w:val="263"/>
        </w:trPr>
        <w:tc>
          <w:tcPr>
            <w:tcW w:w="2831" w:type="dxa"/>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18.5</w:t>
            </w:r>
            <w:r>
              <w:rPr>
                <w:rFonts w:ascii="宋体" w:hAnsi="宋体" w:cs="宋体" w:hint="eastAsia"/>
                <w:b/>
                <w:kern w:val="0"/>
                <w:sz w:val="18"/>
                <w:szCs w:val="18"/>
              </w:rPr>
              <w:t>寸网络液晶一体机</w:t>
            </w:r>
          </w:p>
        </w:tc>
        <w:tc>
          <w:tcPr>
            <w:tcW w:w="2664" w:type="dxa"/>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SZ-</w:t>
            </w:r>
            <w:r>
              <w:rPr>
                <w:rFonts w:ascii="宋体" w:hAnsi="宋体" w:cs="宋体" w:hint="eastAsia"/>
                <w:b/>
                <w:kern w:val="0"/>
                <w:sz w:val="18"/>
                <w:szCs w:val="18"/>
              </w:rPr>
              <w:t>LED</w:t>
            </w:r>
            <w:r>
              <w:rPr>
                <w:rFonts w:ascii="宋体" w:hAnsi="宋体" w:cs="宋体"/>
                <w:b/>
                <w:kern w:val="0"/>
                <w:sz w:val="18"/>
                <w:szCs w:val="18"/>
              </w:rPr>
              <w:t>18.5</w:t>
            </w:r>
            <w:r>
              <w:rPr>
                <w:rFonts w:ascii="宋体" w:hAnsi="宋体" w:cs="宋体" w:hint="eastAsia"/>
                <w:b/>
                <w:kern w:val="0"/>
                <w:sz w:val="18"/>
                <w:szCs w:val="18"/>
              </w:rPr>
              <w:t>-MS</w:t>
            </w:r>
            <w:r>
              <w:rPr>
                <w:rFonts w:ascii="宋体" w:hAnsi="宋体" w:cs="宋体"/>
                <w:b/>
                <w:kern w:val="0"/>
                <w:sz w:val="18"/>
                <w:szCs w:val="18"/>
              </w:rPr>
              <w:t>TV</w:t>
            </w:r>
          </w:p>
        </w:tc>
        <w:tc>
          <w:tcPr>
            <w:tcW w:w="1279" w:type="dxa"/>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b/>
                <w:color w:val="000000"/>
                <w:kern w:val="0"/>
                <w:sz w:val="18"/>
                <w:szCs w:val="18"/>
              </w:rPr>
              <w:t>133</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32</w:t>
            </w:r>
            <w:r>
              <w:rPr>
                <w:rFonts w:ascii="宋体" w:hAnsi="宋体" w:cs="宋体" w:hint="eastAsia"/>
                <w:b/>
                <w:kern w:val="0"/>
                <w:sz w:val="18"/>
                <w:szCs w:val="18"/>
              </w:rPr>
              <w:t>寸网络液晶一体机</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SZ-</w:t>
            </w:r>
            <w:r>
              <w:rPr>
                <w:rFonts w:ascii="宋体" w:hAnsi="宋体" w:cs="宋体" w:hint="eastAsia"/>
                <w:b/>
                <w:kern w:val="0"/>
                <w:sz w:val="18"/>
                <w:szCs w:val="18"/>
              </w:rPr>
              <w:t>LED</w:t>
            </w:r>
            <w:r>
              <w:rPr>
                <w:rFonts w:ascii="宋体" w:hAnsi="宋体" w:cs="宋体"/>
                <w:b/>
                <w:kern w:val="0"/>
                <w:sz w:val="18"/>
                <w:szCs w:val="18"/>
              </w:rPr>
              <w:t>32</w:t>
            </w:r>
            <w:r>
              <w:rPr>
                <w:rFonts w:ascii="宋体" w:hAnsi="宋体" w:cs="宋体" w:hint="eastAsia"/>
                <w:b/>
                <w:kern w:val="0"/>
                <w:sz w:val="18"/>
                <w:szCs w:val="18"/>
              </w:rPr>
              <w:t>-MSTV</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59</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42一体机安装支架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SZ-</w:t>
            </w:r>
            <w:r>
              <w:rPr>
                <w:rFonts w:ascii="宋体" w:hAnsi="宋体" w:cs="宋体" w:hint="eastAsia"/>
                <w:b/>
                <w:kern w:val="0"/>
                <w:sz w:val="18"/>
                <w:szCs w:val="18"/>
              </w:rPr>
              <w:t>LED</w:t>
            </w:r>
            <w:r>
              <w:rPr>
                <w:rFonts w:ascii="宋体" w:hAnsi="宋体" w:cs="宋体"/>
                <w:b/>
                <w:kern w:val="0"/>
                <w:sz w:val="18"/>
                <w:szCs w:val="18"/>
              </w:rPr>
              <w:t>42</w:t>
            </w:r>
            <w:r>
              <w:rPr>
                <w:rFonts w:ascii="宋体" w:hAnsi="宋体" w:cs="宋体" w:hint="eastAsia"/>
                <w:b/>
                <w:kern w:val="0"/>
                <w:sz w:val="18"/>
                <w:szCs w:val="18"/>
              </w:rPr>
              <w:t>-MSTV</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b/>
                <w:color w:val="000000"/>
                <w:kern w:val="0"/>
                <w:sz w:val="18"/>
                <w:szCs w:val="18"/>
              </w:rPr>
              <w:t>53</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导诊机</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智慧Ⅱ型</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自助取号机</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Shine-</w:t>
            </w:r>
            <w:r>
              <w:rPr>
                <w:rFonts w:ascii="宋体" w:hAnsi="宋体" w:cs="宋体"/>
                <w:b/>
                <w:kern w:val="0"/>
                <w:sz w:val="18"/>
                <w:szCs w:val="18"/>
              </w:rPr>
              <w:t>QH-MSTV</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18.5寸安装支架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定制</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个</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133</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32、42寸安装支架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定制</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个</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w:t>
            </w:r>
            <w:r>
              <w:rPr>
                <w:rFonts w:ascii="宋体" w:hAnsi="宋体" w:cs="宋体"/>
                <w:b/>
                <w:color w:val="000000"/>
                <w:kern w:val="0"/>
                <w:sz w:val="18"/>
                <w:szCs w:val="18"/>
              </w:rPr>
              <w:t>07</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功放</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定制</w:t>
            </w:r>
          </w:p>
        </w:tc>
        <w:tc>
          <w:tcPr>
            <w:tcW w:w="1279"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个</w:t>
            </w:r>
          </w:p>
        </w:tc>
        <w:tc>
          <w:tcPr>
            <w:tcW w:w="1765" w:type="dxa"/>
            <w:shd w:val="clear" w:color="auto" w:fill="DEEAF6"/>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21</w:t>
            </w:r>
          </w:p>
        </w:tc>
      </w:tr>
      <w:tr w:rsidR="005553F0" w:rsidTr="00086B20">
        <w:trPr>
          <w:trHeight w:val="290"/>
        </w:trPr>
        <w:tc>
          <w:tcPr>
            <w:tcW w:w="8539" w:type="dxa"/>
            <w:gridSpan w:val="4"/>
            <w:tcBorders>
              <w:top w:val="single" w:sz="4" w:space="0" w:color="5B9BD5"/>
              <w:left w:val="single" w:sz="4" w:space="0" w:color="5B9BD5"/>
              <w:bottom w:val="single" w:sz="4" w:space="0" w:color="5B9BD5"/>
              <w:right w:val="single" w:sz="4" w:space="0" w:color="5B9BD5"/>
            </w:tcBorders>
            <w:shd w:val="clear" w:color="auto" w:fill="5B9BD5"/>
            <w:vAlign w:val="center"/>
          </w:tcPr>
          <w:p w:rsidR="005553F0" w:rsidRDefault="005553F0" w:rsidP="00086B20">
            <w:pPr>
              <w:widowControl/>
              <w:jc w:val="center"/>
              <w:rPr>
                <w:rFonts w:ascii="宋体" w:hAnsi="宋体" w:cs="宋体"/>
                <w:b/>
                <w:bCs/>
                <w:color w:val="FFFFFF"/>
                <w:kern w:val="0"/>
                <w:sz w:val="24"/>
              </w:rPr>
            </w:pPr>
            <w:r>
              <w:rPr>
                <w:rFonts w:ascii="宋体" w:hAnsi="宋体" w:cs="宋体" w:hint="eastAsia"/>
                <w:b/>
                <w:bCs/>
                <w:color w:val="FFFFFF"/>
                <w:kern w:val="0"/>
                <w:sz w:val="24"/>
              </w:rPr>
              <w:t>软件部分</w:t>
            </w:r>
          </w:p>
        </w:tc>
      </w:tr>
      <w:tr w:rsidR="005553F0" w:rsidTr="00086B20">
        <w:trPr>
          <w:trHeight w:val="335"/>
        </w:trPr>
        <w:tc>
          <w:tcPr>
            <w:tcW w:w="2831"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设备名称</w:t>
            </w:r>
          </w:p>
        </w:tc>
        <w:tc>
          <w:tcPr>
            <w:tcW w:w="2664"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型号</w:t>
            </w:r>
          </w:p>
        </w:tc>
        <w:tc>
          <w:tcPr>
            <w:tcW w:w="1279"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单位</w:t>
            </w:r>
          </w:p>
        </w:tc>
        <w:tc>
          <w:tcPr>
            <w:tcW w:w="1765"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数量</w:t>
            </w:r>
          </w:p>
        </w:tc>
      </w:tr>
      <w:tr w:rsidR="005553F0" w:rsidTr="00086B20">
        <w:trPr>
          <w:trHeight w:val="263"/>
        </w:trPr>
        <w:tc>
          <w:tcPr>
            <w:tcW w:w="2831" w:type="dxa"/>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分诊导医系统平台软件</w:t>
            </w:r>
          </w:p>
        </w:tc>
        <w:tc>
          <w:tcPr>
            <w:tcW w:w="2664" w:type="dxa"/>
            <w:vAlign w:val="center"/>
          </w:tcPr>
          <w:p w:rsidR="005553F0" w:rsidRDefault="005553F0" w:rsidP="00086B20">
            <w:pPr>
              <w:widowControl/>
              <w:jc w:val="center"/>
              <w:rPr>
                <w:rFonts w:ascii="宋体" w:hAnsi="宋体"/>
                <w:b/>
                <w:color w:val="000000"/>
                <w:kern w:val="0"/>
                <w:sz w:val="18"/>
                <w:szCs w:val="18"/>
              </w:rPr>
            </w:pPr>
            <w:r>
              <w:rPr>
                <w:rFonts w:ascii="宋体" w:hAnsi="宋体"/>
                <w:b/>
                <w:color w:val="000000"/>
                <w:kern w:val="0"/>
                <w:sz w:val="18"/>
                <w:szCs w:val="18"/>
              </w:rPr>
              <w:t>Shine V2.0</w:t>
            </w:r>
          </w:p>
        </w:tc>
        <w:tc>
          <w:tcPr>
            <w:tcW w:w="1279" w:type="dxa"/>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门诊分诊叫号软件</w:t>
            </w:r>
          </w:p>
        </w:tc>
        <w:tc>
          <w:tcPr>
            <w:tcW w:w="2664" w:type="dxa"/>
            <w:shd w:val="clear" w:color="auto" w:fill="DEEAF6"/>
            <w:vAlign w:val="center"/>
          </w:tcPr>
          <w:p w:rsidR="005553F0" w:rsidRDefault="005553F0" w:rsidP="00086B20">
            <w:pPr>
              <w:widowControl/>
              <w:jc w:val="center"/>
              <w:rPr>
                <w:rFonts w:ascii="宋体" w:hAnsi="宋体"/>
                <w:b/>
                <w:color w:val="000000"/>
                <w:kern w:val="0"/>
                <w:sz w:val="18"/>
                <w:szCs w:val="18"/>
              </w:rPr>
            </w:pPr>
            <w:r>
              <w:rPr>
                <w:rFonts w:ascii="宋体" w:hAnsi="宋体"/>
                <w:b/>
                <w:color w:val="000000"/>
                <w:kern w:val="0"/>
                <w:sz w:val="18"/>
                <w:szCs w:val="18"/>
              </w:rPr>
              <w:t>Shine V2.0-MZ</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药房发药排队叫号软件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b/>
                <w:color w:val="000000"/>
                <w:kern w:val="0"/>
                <w:sz w:val="18"/>
                <w:szCs w:val="18"/>
              </w:rPr>
              <w:t>Shine V2.0-YF</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点</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医技分诊叫号软件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b/>
                <w:color w:val="000000"/>
                <w:kern w:val="0"/>
                <w:sz w:val="18"/>
                <w:szCs w:val="18"/>
              </w:rPr>
              <w:t>Shine V2.0-YJ</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信息宣教系统平台</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b/>
                <w:color w:val="000000"/>
                <w:kern w:val="0"/>
                <w:sz w:val="18"/>
                <w:szCs w:val="18"/>
              </w:rPr>
              <w:t>Shine V2.0</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显示设备终端授权软件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b/>
                <w:color w:val="000000"/>
                <w:kern w:val="0"/>
                <w:sz w:val="18"/>
                <w:szCs w:val="18"/>
              </w:rPr>
              <w:t>Shine-authorization</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图文混播软件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 xml:space="preserve">　</w:t>
            </w:r>
            <w:r>
              <w:rPr>
                <w:rFonts w:ascii="宋体" w:hAnsi="宋体"/>
                <w:b/>
                <w:color w:val="000000"/>
                <w:kern w:val="0"/>
                <w:sz w:val="18"/>
                <w:szCs w:val="18"/>
              </w:rPr>
              <w:t>Shine V2.0-HB</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宣教信息管理软件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 xml:space="preserve">　</w:t>
            </w:r>
            <w:r>
              <w:rPr>
                <w:rFonts w:ascii="宋体" w:hAnsi="宋体"/>
                <w:b/>
                <w:color w:val="000000"/>
                <w:kern w:val="0"/>
                <w:sz w:val="18"/>
                <w:szCs w:val="18"/>
              </w:rPr>
              <w:t>Shine V2.0-SC</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模版管理软件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b/>
                <w:color w:val="000000"/>
                <w:kern w:val="0"/>
                <w:sz w:val="18"/>
                <w:szCs w:val="18"/>
              </w:rPr>
              <w:t>Shine V2.0-MB</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护士分诊台软件</w:t>
            </w:r>
          </w:p>
        </w:tc>
        <w:tc>
          <w:tcPr>
            <w:tcW w:w="2664" w:type="dxa"/>
            <w:shd w:val="clear" w:color="auto" w:fill="DEEAF6"/>
            <w:vAlign w:val="center"/>
          </w:tcPr>
          <w:p w:rsidR="005553F0" w:rsidRDefault="005553F0" w:rsidP="00086B20">
            <w:pPr>
              <w:widowControl/>
              <w:jc w:val="center"/>
              <w:rPr>
                <w:rFonts w:ascii="宋体" w:hAnsi="宋体"/>
                <w:b/>
                <w:color w:val="000000"/>
                <w:kern w:val="0"/>
                <w:sz w:val="18"/>
                <w:szCs w:val="18"/>
              </w:rPr>
            </w:pPr>
            <w:r>
              <w:rPr>
                <w:rFonts w:ascii="宋体" w:hAnsi="宋体" w:cs="宋体" w:hint="eastAsia"/>
                <w:b/>
                <w:kern w:val="0"/>
                <w:sz w:val="18"/>
                <w:szCs w:val="18"/>
              </w:rPr>
              <w:t>Shine-</w:t>
            </w:r>
            <w:r>
              <w:rPr>
                <w:rFonts w:ascii="宋体" w:hAnsi="宋体" w:cs="宋体"/>
                <w:b/>
                <w:kern w:val="0"/>
                <w:sz w:val="18"/>
                <w:szCs w:val="18"/>
              </w:rPr>
              <w:t>Nurse-Station</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16</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lastRenderedPageBreak/>
              <w:t>医生虚拟叫号器软件</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Shine-</w:t>
            </w:r>
            <w:r>
              <w:rPr>
                <w:rFonts w:ascii="宋体" w:hAnsi="宋体" w:cs="宋体"/>
                <w:b/>
                <w:kern w:val="0"/>
                <w:sz w:val="18"/>
                <w:szCs w:val="18"/>
              </w:rPr>
              <w:t>Virtual-Callbottom</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150</w:t>
            </w:r>
          </w:p>
        </w:tc>
      </w:tr>
      <w:tr w:rsidR="005553F0" w:rsidTr="00086B20">
        <w:trPr>
          <w:trHeight w:val="236"/>
        </w:trPr>
        <w:tc>
          <w:tcPr>
            <w:tcW w:w="2831"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语音平台库</w:t>
            </w:r>
          </w:p>
        </w:tc>
        <w:tc>
          <w:tcPr>
            <w:tcW w:w="2664"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Voice</w:t>
            </w:r>
            <w:r>
              <w:rPr>
                <w:rFonts w:ascii="宋体" w:hAnsi="宋体" w:cs="宋体"/>
                <w:b/>
                <w:kern w:val="0"/>
                <w:sz w:val="18"/>
                <w:szCs w:val="18"/>
              </w:rPr>
              <w:t xml:space="preserve"> Platform</w:t>
            </w:r>
          </w:p>
        </w:tc>
        <w:tc>
          <w:tcPr>
            <w:tcW w:w="1279"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套</w:t>
            </w:r>
          </w:p>
        </w:tc>
        <w:tc>
          <w:tcPr>
            <w:tcW w:w="1765" w:type="dxa"/>
            <w:shd w:val="clear" w:color="auto" w:fill="DEEAF6"/>
            <w:vAlign w:val="center"/>
          </w:tcPr>
          <w:p w:rsidR="005553F0" w:rsidRDefault="005553F0" w:rsidP="00086B20">
            <w:pPr>
              <w:widowControl/>
              <w:jc w:val="center"/>
              <w:rPr>
                <w:rFonts w:ascii="宋体" w:hAnsi="宋体" w:cs="宋体"/>
                <w:b/>
                <w:kern w:val="0"/>
                <w:sz w:val="18"/>
                <w:szCs w:val="18"/>
              </w:rPr>
            </w:pPr>
            <w:r>
              <w:rPr>
                <w:rFonts w:ascii="宋体" w:hAnsi="宋体" w:cs="宋体" w:hint="eastAsia"/>
                <w:b/>
                <w:kern w:val="0"/>
                <w:sz w:val="18"/>
                <w:szCs w:val="18"/>
              </w:rPr>
              <w:t>1</w:t>
            </w:r>
          </w:p>
        </w:tc>
      </w:tr>
    </w:tbl>
    <w:p w:rsidR="005553F0" w:rsidRDefault="005553F0" w:rsidP="005553F0">
      <w:pPr>
        <w:rPr>
          <w:b/>
          <w:sz w:val="32"/>
          <w:szCs w:val="3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2831"/>
        <w:gridCol w:w="2664"/>
        <w:gridCol w:w="1279"/>
        <w:gridCol w:w="1765"/>
      </w:tblGrid>
      <w:tr w:rsidR="005553F0" w:rsidTr="00086B20">
        <w:trPr>
          <w:trHeight w:val="290"/>
        </w:trPr>
        <w:tc>
          <w:tcPr>
            <w:tcW w:w="8539" w:type="dxa"/>
            <w:gridSpan w:val="4"/>
            <w:tcBorders>
              <w:top w:val="single" w:sz="4" w:space="0" w:color="5B9BD5"/>
              <w:left w:val="single" w:sz="4" w:space="0" w:color="5B9BD5"/>
              <w:bottom w:val="single" w:sz="4" w:space="0" w:color="5B9BD5"/>
              <w:right w:val="single" w:sz="4" w:space="0" w:color="5B9BD5"/>
            </w:tcBorders>
            <w:shd w:val="clear" w:color="auto" w:fill="5B9BD5"/>
            <w:vAlign w:val="center"/>
          </w:tcPr>
          <w:p w:rsidR="005553F0" w:rsidRDefault="005553F0" w:rsidP="00086B20">
            <w:pPr>
              <w:widowControl/>
              <w:jc w:val="center"/>
              <w:rPr>
                <w:rFonts w:ascii="宋体" w:hAnsi="宋体" w:cs="宋体"/>
                <w:b/>
                <w:bCs/>
                <w:color w:val="FFFFFF"/>
                <w:kern w:val="0"/>
                <w:sz w:val="24"/>
              </w:rPr>
            </w:pPr>
            <w:r>
              <w:rPr>
                <w:rFonts w:ascii="宋体" w:hAnsi="宋体" w:cs="宋体" w:hint="eastAsia"/>
                <w:b/>
                <w:bCs/>
                <w:color w:val="FFFFFF"/>
                <w:kern w:val="0"/>
                <w:sz w:val="24"/>
              </w:rPr>
              <w:t>备机部分</w:t>
            </w:r>
          </w:p>
        </w:tc>
      </w:tr>
      <w:tr w:rsidR="005553F0" w:rsidTr="00086B20">
        <w:trPr>
          <w:trHeight w:val="335"/>
        </w:trPr>
        <w:tc>
          <w:tcPr>
            <w:tcW w:w="2831"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设备名称</w:t>
            </w:r>
          </w:p>
        </w:tc>
        <w:tc>
          <w:tcPr>
            <w:tcW w:w="2664"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型号</w:t>
            </w:r>
          </w:p>
        </w:tc>
        <w:tc>
          <w:tcPr>
            <w:tcW w:w="1279"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单位</w:t>
            </w:r>
          </w:p>
        </w:tc>
        <w:tc>
          <w:tcPr>
            <w:tcW w:w="1765" w:type="dxa"/>
            <w:shd w:val="clear" w:color="auto" w:fill="DEEAF6"/>
            <w:vAlign w:val="center"/>
          </w:tcPr>
          <w:p w:rsidR="005553F0" w:rsidRDefault="005553F0" w:rsidP="00086B20">
            <w:pPr>
              <w:widowControl/>
              <w:jc w:val="center"/>
              <w:rPr>
                <w:rFonts w:ascii="宋体" w:hAnsi="宋体" w:cs="宋体"/>
                <w:b/>
                <w:bCs/>
                <w:kern w:val="0"/>
                <w:sz w:val="24"/>
              </w:rPr>
            </w:pPr>
            <w:r>
              <w:rPr>
                <w:rFonts w:ascii="宋体" w:hAnsi="宋体" w:cs="宋体" w:hint="eastAsia"/>
                <w:b/>
                <w:bCs/>
                <w:kern w:val="0"/>
                <w:sz w:val="24"/>
              </w:rPr>
              <w:t>数量</w:t>
            </w:r>
          </w:p>
        </w:tc>
      </w:tr>
      <w:tr w:rsidR="005553F0" w:rsidTr="00086B20">
        <w:trPr>
          <w:trHeight w:val="263"/>
        </w:trPr>
        <w:tc>
          <w:tcPr>
            <w:tcW w:w="2831" w:type="dxa"/>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18.5</w:t>
            </w:r>
            <w:r>
              <w:rPr>
                <w:rFonts w:ascii="宋体" w:hAnsi="宋体" w:cs="宋体" w:hint="eastAsia"/>
                <w:b/>
                <w:kern w:val="0"/>
                <w:sz w:val="18"/>
                <w:szCs w:val="18"/>
              </w:rPr>
              <w:t>寸网络液晶一体机</w:t>
            </w:r>
          </w:p>
        </w:tc>
        <w:tc>
          <w:tcPr>
            <w:tcW w:w="2664" w:type="dxa"/>
            <w:vAlign w:val="center"/>
          </w:tcPr>
          <w:p w:rsidR="005553F0" w:rsidRDefault="005553F0" w:rsidP="00086B20">
            <w:pPr>
              <w:widowControl/>
              <w:jc w:val="center"/>
              <w:rPr>
                <w:rFonts w:ascii="宋体" w:hAnsi="宋体" w:cs="宋体"/>
                <w:b/>
                <w:kern w:val="0"/>
                <w:sz w:val="18"/>
                <w:szCs w:val="18"/>
              </w:rPr>
            </w:pPr>
            <w:r>
              <w:rPr>
                <w:rFonts w:ascii="宋体" w:hAnsi="宋体" w:cs="宋体"/>
                <w:b/>
                <w:kern w:val="0"/>
                <w:sz w:val="18"/>
                <w:szCs w:val="18"/>
              </w:rPr>
              <w:t>SZ-</w:t>
            </w:r>
            <w:r>
              <w:rPr>
                <w:rFonts w:ascii="宋体" w:hAnsi="宋体" w:cs="宋体" w:hint="eastAsia"/>
                <w:b/>
                <w:kern w:val="0"/>
                <w:sz w:val="18"/>
                <w:szCs w:val="18"/>
              </w:rPr>
              <w:t>LED</w:t>
            </w:r>
            <w:r>
              <w:rPr>
                <w:rFonts w:ascii="宋体" w:hAnsi="宋体" w:cs="宋体"/>
                <w:b/>
                <w:kern w:val="0"/>
                <w:sz w:val="18"/>
                <w:szCs w:val="18"/>
              </w:rPr>
              <w:t>18.5</w:t>
            </w:r>
            <w:r>
              <w:rPr>
                <w:rFonts w:ascii="宋体" w:hAnsi="宋体" w:cs="宋体" w:hint="eastAsia"/>
                <w:b/>
                <w:kern w:val="0"/>
                <w:sz w:val="18"/>
                <w:szCs w:val="18"/>
              </w:rPr>
              <w:t>-MS</w:t>
            </w:r>
            <w:r>
              <w:rPr>
                <w:rFonts w:ascii="宋体" w:hAnsi="宋体" w:cs="宋体"/>
                <w:b/>
                <w:kern w:val="0"/>
                <w:sz w:val="18"/>
                <w:szCs w:val="18"/>
              </w:rPr>
              <w:t>TV</w:t>
            </w:r>
          </w:p>
        </w:tc>
        <w:tc>
          <w:tcPr>
            <w:tcW w:w="1279" w:type="dxa"/>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台</w:t>
            </w:r>
          </w:p>
        </w:tc>
        <w:tc>
          <w:tcPr>
            <w:tcW w:w="1765" w:type="dxa"/>
            <w:vAlign w:val="center"/>
          </w:tcPr>
          <w:p w:rsidR="005553F0" w:rsidRDefault="005553F0" w:rsidP="00086B2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w:t>
            </w:r>
          </w:p>
        </w:tc>
      </w:tr>
    </w:tbl>
    <w:p w:rsidR="005D1B22" w:rsidRDefault="005D1B22">
      <w:pPr>
        <w:spacing w:line="460" w:lineRule="exact"/>
        <w:ind w:firstLineChars="245" w:firstLine="541"/>
        <w:rPr>
          <w:rFonts w:ascii="新宋体" w:eastAsia="新宋体" w:hAnsi="新宋体" w:cs="新宋体"/>
          <w:b/>
          <w:sz w:val="22"/>
          <w:szCs w:val="22"/>
        </w:rPr>
      </w:pPr>
    </w:p>
    <w:p w:rsidR="005D1B22" w:rsidRDefault="005D1B22">
      <w:pPr>
        <w:spacing w:line="460" w:lineRule="exact"/>
        <w:ind w:firstLineChars="245" w:firstLine="541"/>
        <w:rPr>
          <w:rFonts w:ascii="新宋体" w:eastAsia="新宋体" w:hAnsi="新宋体" w:cs="新宋体"/>
          <w:b/>
          <w:sz w:val="22"/>
          <w:szCs w:val="22"/>
        </w:rPr>
      </w:pPr>
    </w:p>
    <w:p w:rsidR="005D1B22" w:rsidRDefault="005D1B22">
      <w:pPr>
        <w:spacing w:line="460" w:lineRule="exact"/>
        <w:ind w:firstLineChars="245" w:firstLine="541"/>
        <w:rPr>
          <w:rFonts w:ascii="新宋体" w:eastAsia="新宋体" w:hAnsi="新宋体" w:cs="新宋体"/>
          <w:b/>
          <w:sz w:val="22"/>
          <w:szCs w:val="22"/>
        </w:rPr>
      </w:pPr>
    </w:p>
    <w:p w:rsidR="005D1B22" w:rsidRDefault="005D1B22">
      <w:pPr>
        <w:spacing w:line="460" w:lineRule="exact"/>
        <w:ind w:firstLineChars="245" w:firstLine="541"/>
        <w:rPr>
          <w:rFonts w:ascii="新宋体" w:eastAsia="新宋体" w:hAnsi="新宋体" w:cs="新宋体"/>
          <w:b/>
          <w:sz w:val="22"/>
          <w:szCs w:val="22"/>
        </w:rPr>
      </w:pPr>
    </w:p>
    <w:p w:rsidR="005D1B22" w:rsidRDefault="00657E85">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sz w:val="22"/>
          <w:szCs w:val="22"/>
        </w:rPr>
        <w:t>总分设定为100分</w:t>
      </w:r>
      <w:r>
        <w:rPr>
          <w:rFonts w:ascii="新宋体" w:eastAsia="新宋体" w:hAnsi="新宋体" w:cs="新宋体" w:hint="eastAsia"/>
          <w:b/>
          <w:bCs/>
          <w:sz w:val="22"/>
          <w:szCs w:val="22"/>
        </w:rPr>
        <w:t>，其中</w:t>
      </w:r>
      <w:r>
        <w:rPr>
          <w:rFonts w:ascii="新宋体" w:eastAsia="新宋体" w:hAnsi="新宋体" w:cs="新宋体" w:hint="eastAsia"/>
          <w:b/>
          <w:sz w:val="22"/>
          <w:szCs w:val="22"/>
        </w:rPr>
        <w:t>商务技术</w:t>
      </w:r>
      <w:r>
        <w:rPr>
          <w:rFonts w:ascii="新宋体" w:eastAsia="新宋体" w:hAnsi="新宋体" w:cs="新宋体" w:hint="eastAsia"/>
          <w:b/>
          <w:bCs/>
          <w:sz w:val="22"/>
          <w:szCs w:val="22"/>
        </w:rPr>
        <w:t>70分（</w:t>
      </w:r>
      <w:r>
        <w:rPr>
          <w:rFonts w:ascii="新宋体" w:eastAsia="新宋体" w:hAnsi="新宋体" w:cs="新宋体" w:hint="eastAsia"/>
          <w:b/>
          <w:sz w:val="22"/>
          <w:szCs w:val="22"/>
        </w:rPr>
        <w:t>商务技术</w:t>
      </w:r>
      <w:r>
        <w:rPr>
          <w:rFonts w:ascii="新宋体" w:eastAsia="新宋体" w:hAnsi="新宋体" w:cs="新宋体" w:hint="eastAsia"/>
          <w:b/>
          <w:bCs/>
          <w:sz w:val="22"/>
          <w:szCs w:val="22"/>
        </w:rPr>
        <w:t>权值70%），价格30分（价格权值30%）</w:t>
      </w:r>
    </w:p>
    <w:p w:rsidR="005D1B22" w:rsidRDefault="00657E85">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1、商务技术分的评定：商务技术分70分（权值70%）</w:t>
      </w:r>
    </w:p>
    <w:p w:rsidR="005D1B22" w:rsidRDefault="00657E85">
      <w:pPr>
        <w:spacing w:line="460" w:lineRule="exact"/>
        <w:ind w:firstLineChars="245" w:firstLine="539"/>
        <w:rPr>
          <w:rFonts w:ascii="新宋体" w:eastAsia="新宋体" w:hAnsi="新宋体"/>
          <w:sz w:val="22"/>
          <w:szCs w:val="22"/>
        </w:rPr>
      </w:pPr>
      <w:r>
        <w:rPr>
          <w:rFonts w:ascii="新宋体" w:eastAsia="新宋体" w:hAnsi="新宋体" w:cs="新宋体" w:hint="eastAsia"/>
          <w:sz w:val="22"/>
          <w:szCs w:val="22"/>
        </w:rPr>
        <w:t>各评委成员按下列评分项目进行评判，每人一张评分计算票，并记名。投标文件各项评分内容由评标委员会成员各自评分，如某张票的一个因素项目超过规定的范围，则该张票无效。</w:t>
      </w:r>
      <w:r>
        <w:rPr>
          <w:rFonts w:ascii="新宋体" w:eastAsia="新宋体" w:hAnsi="新宋体" w:cs="新宋体" w:hint="eastAsia"/>
          <w:sz w:val="22"/>
        </w:rPr>
        <w:t>各评标委员会成员对各投标人的各项评分内容评分的算术平均值为各投标人技术分得分</w:t>
      </w:r>
      <w:r>
        <w:rPr>
          <w:rFonts w:ascii="新宋体" w:eastAsia="新宋体" w:hAnsi="新宋体" w:cs="新宋体" w:hint="eastAsia"/>
          <w:sz w:val="22"/>
          <w:szCs w:val="22"/>
        </w:rPr>
        <w:t>（小数点后按四舍五入保留2位）。</w:t>
      </w:r>
    </w:p>
    <w:tbl>
      <w:tblPr>
        <w:tblW w:w="10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138"/>
        <w:gridCol w:w="6642"/>
      </w:tblGrid>
      <w:tr w:rsidR="005D1B22" w:rsidTr="001567A4">
        <w:trPr>
          <w:trHeight w:val="23"/>
        </w:trPr>
        <w:tc>
          <w:tcPr>
            <w:tcW w:w="851"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序号</w:t>
            </w:r>
          </w:p>
        </w:tc>
        <w:tc>
          <w:tcPr>
            <w:tcW w:w="1843"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评审因素</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分值</w:t>
            </w:r>
          </w:p>
        </w:tc>
        <w:tc>
          <w:tcPr>
            <w:tcW w:w="6642"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详细说明</w:t>
            </w:r>
          </w:p>
        </w:tc>
      </w:tr>
      <w:tr w:rsidR="005D1B22" w:rsidTr="001567A4">
        <w:trPr>
          <w:trHeight w:val="23"/>
        </w:trPr>
        <w:tc>
          <w:tcPr>
            <w:tcW w:w="851"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1843"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投标人基本情况</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5分</w:t>
            </w:r>
          </w:p>
        </w:tc>
        <w:tc>
          <w:tcPr>
            <w:tcW w:w="6642" w:type="dxa"/>
            <w:shd w:val="clear" w:color="auto" w:fill="auto"/>
            <w:vAlign w:val="center"/>
          </w:tcPr>
          <w:p w:rsidR="005D1B22" w:rsidRDefault="00657E85">
            <w:pPr>
              <w:pStyle w:val="a0"/>
              <w:shd w:val="clear" w:color="auto" w:fill="FFFFFF" w:themeFill="background1"/>
              <w:adjustRightInd/>
              <w:spacing w:line="460" w:lineRule="exact"/>
              <w:ind w:firstLine="0"/>
              <w:textAlignment w:val="auto"/>
              <w:rPr>
                <w:rFonts w:ascii="新宋体" w:eastAsia="新宋体" w:hAnsi="新宋体" w:cs="新宋体"/>
                <w:b w:val="0"/>
                <w:bCs/>
                <w:sz w:val="22"/>
                <w:szCs w:val="22"/>
              </w:rPr>
            </w:pPr>
            <w:r>
              <w:rPr>
                <w:rFonts w:ascii="新宋体" w:eastAsia="新宋体" w:hAnsi="新宋体" w:cs="新宋体" w:hint="eastAsia"/>
                <w:b w:val="0"/>
                <w:bCs/>
                <w:sz w:val="22"/>
                <w:szCs w:val="22"/>
              </w:rPr>
              <w:t>评委根据投标商提供的公司基本情况进行综合评议打分。</w:t>
            </w:r>
          </w:p>
          <w:p w:rsidR="005D1B22" w:rsidRDefault="00657E85">
            <w:pPr>
              <w:spacing w:line="460" w:lineRule="exact"/>
              <w:rPr>
                <w:rFonts w:ascii="新宋体" w:eastAsia="新宋体" w:hAnsi="新宋体" w:cs="新宋体"/>
                <w:sz w:val="22"/>
                <w:szCs w:val="22"/>
              </w:rPr>
            </w:pPr>
            <w:r>
              <w:rPr>
                <w:rFonts w:ascii="新宋体" w:eastAsia="新宋体" w:hAnsi="新宋体" w:cs="新宋体" w:hint="eastAsia"/>
                <w:sz w:val="22"/>
                <w:szCs w:val="22"/>
              </w:rPr>
              <w:t>A档：5-3分；B档：3-1分；C档：1-0分</w:t>
            </w:r>
          </w:p>
        </w:tc>
      </w:tr>
      <w:tr w:rsidR="005D1B22" w:rsidTr="001567A4">
        <w:trPr>
          <w:trHeight w:val="900"/>
        </w:trPr>
        <w:tc>
          <w:tcPr>
            <w:tcW w:w="851" w:type="dxa"/>
            <w:vMerge w:val="restart"/>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1843" w:type="dxa"/>
            <w:vMerge w:val="restart"/>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服务方案</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服务计划：根据服务计划的合理性、完整性等。</w:t>
            </w:r>
          </w:p>
          <w:p w:rsidR="005D1B22" w:rsidRDefault="00657E85">
            <w:pPr>
              <w:pStyle w:val="BodyText1I"/>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A档：5-3分；B档：3-1分；C档：1-0分</w:t>
            </w:r>
          </w:p>
        </w:tc>
      </w:tr>
      <w:tr w:rsidR="005D1B22" w:rsidTr="001567A4">
        <w:trPr>
          <w:trHeight w:val="23"/>
        </w:trPr>
        <w:tc>
          <w:tcPr>
            <w:tcW w:w="851"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10分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售后服务计划，包括日常维护、巡检，维修响应时间和计划等。</w:t>
            </w:r>
          </w:p>
          <w:p w:rsidR="005D1B22" w:rsidRDefault="00657E85">
            <w:pPr>
              <w:pStyle w:val="BodyText1I"/>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A档：10-6分；B档：6-3分；C档：3-0分</w:t>
            </w:r>
          </w:p>
        </w:tc>
      </w:tr>
      <w:tr w:rsidR="005D1B22" w:rsidTr="001567A4">
        <w:trPr>
          <w:trHeight w:val="23"/>
        </w:trPr>
        <w:tc>
          <w:tcPr>
            <w:tcW w:w="851"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3分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应急方案：出现重大故障或突发情况的应急方案和措施。</w:t>
            </w:r>
          </w:p>
          <w:p w:rsidR="005D1B22" w:rsidRDefault="00657E85">
            <w:pPr>
              <w:pStyle w:val="BodyText1I"/>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A档：3-1分；B档：1-0分</w:t>
            </w:r>
          </w:p>
        </w:tc>
      </w:tr>
      <w:tr w:rsidR="005D1B22" w:rsidTr="001567A4">
        <w:trPr>
          <w:trHeight w:val="23"/>
        </w:trPr>
        <w:tc>
          <w:tcPr>
            <w:tcW w:w="851"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呼叫显示设备备用措施（0-2分）。</w:t>
            </w:r>
          </w:p>
        </w:tc>
      </w:tr>
      <w:tr w:rsidR="005D1B22" w:rsidTr="001567A4">
        <w:trPr>
          <w:trHeight w:val="23"/>
        </w:trPr>
        <w:tc>
          <w:tcPr>
            <w:tcW w:w="851"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bCs/>
                <w:sz w:val="22"/>
                <w:szCs w:val="22"/>
              </w:rPr>
              <w:t>承诺采用全新维保产品原装配件作为</w:t>
            </w:r>
            <w:r>
              <w:rPr>
                <w:rFonts w:ascii="新宋体" w:eastAsia="新宋体" w:hAnsi="新宋体" w:cs="新宋体"/>
                <w:bCs/>
                <w:sz w:val="22"/>
                <w:szCs w:val="22"/>
              </w:rPr>
              <w:t>维修配件，</w:t>
            </w:r>
            <w:r>
              <w:rPr>
                <w:rFonts w:ascii="新宋体" w:eastAsia="新宋体" w:hAnsi="新宋体" w:cs="新宋体" w:hint="eastAsia"/>
                <w:bCs/>
                <w:sz w:val="22"/>
                <w:szCs w:val="22"/>
              </w:rPr>
              <w:t>提供</w:t>
            </w:r>
            <w:r>
              <w:rPr>
                <w:rFonts w:ascii="新宋体" w:eastAsia="新宋体" w:hAnsi="新宋体" w:cs="新宋体"/>
                <w:bCs/>
                <w:sz w:val="22"/>
                <w:szCs w:val="22"/>
              </w:rPr>
              <w:t>承诺书得</w:t>
            </w:r>
            <w:r>
              <w:rPr>
                <w:rFonts w:ascii="新宋体" w:eastAsia="新宋体" w:hAnsi="新宋体" w:cs="新宋体" w:hint="eastAsia"/>
                <w:bCs/>
                <w:sz w:val="22"/>
                <w:szCs w:val="22"/>
              </w:rPr>
              <w:t>5分，不提供承诺书不得分</w:t>
            </w:r>
          </w:p>
        </w:tc>
      </w:tr>
      <w:tr w:rsidR="005D1B22" w:rsidTr="001567A4">
        <w:trPr>
          <w:trHeight w:val="23"/>
        </w:trPr>
        <w:tc>
          <w:tcPr>
            <w:tcW w:w="851"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vMerge/>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20分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运维平台：</w:t>
            </w:r>
          </w:p>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lastRenderedPageBreak/>
              <w:t>报修端：具备扫码报修功能得2分，查看维修状态功能得2分，服务评价功能得2分；最多得6分；</w:t>
            </w:r>
          </w:p>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维修端：具备维修抢单、派单功能得2分，具备用户定位得1分，具备扫码维修得2分、具备审核、自动推送得2分，最高得7分。</w:t>
            </w:r>
          </w:p>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管理端：具备用户管理、设备管理、维修订单管理得6分、配件管理得1分，最高得7分；</w:t>
            </w:r>
          </w:p>
          <w:p w:rsidR="005D1B22" w:rsidRDefault="00657E85">
            <w:pPr>
              <w:pStyle w:val="BodyText1I"/>
              <w:ind w:firstLineChars="0" w:firstLine="0"/>
              <w:rPr>
                <w:rFonts w:ascii="新宋体" w:eastAsia="新宋体" w:hAnsi="新宋体" w:cs="新宋体"/>
                <w:sz w:val="22"/>
                <w:szCs w:val="22"/>
              </w:rPr>
            </w:pPr>
            <w:r>
              <w:rPr>
                <w:rFonts w:ascii="新宋体" w:eastAsia="新宋体" w:hAnsi="新宋体" w:cs="新宋体" w:hint="eastAsia"/>
                <w:sz w:val="22"/>
                <w:szCs w:val="22"/>
                <w:lang w:val="zh-CN"/>
              </w:rPr>
              <w:t>以上功能提供证明资料，否则不得分。</w:t>
            </w:r>
          </w:p>
        </w:tc>
      </w:tr>
      <w:tr w:rsidR="005D1B22" w:rsidTr="001567A4">
        <w:trPr>
          <w:trHeight w:val="23"/>
        </w:trPr>
        <w:tc>
          <w:tcPr>
            <w:tcW w:w="851"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lastRenderedPageBreak/>
              <w:t>3</w:t>
            </w:r>
          </w:p>
        </w:tc>
        <w:tc>
          <w:tcPr>
            <w:tcW w:w="1843"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bCs/>
                <w:sz w:val="22"/>
                <w:szCs w:val="22"/>
              </w:rPr>
              <w:t>项目履行能力</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评委根据供应商提供的服务人员安排名单情况进行横向比较打分。</w:t>
            </w:r>
          </w:p>
          <w:p w:rsidR="005D1B22" w:rsidRDefault="00657E85">
            <w:pPr>
              <w:pStyle w:val="BodyText1I"/>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A档：5-3分；B档：3-1分；C档：1-0分</w:t>
            </w:r>
          </w:p>
        </w:tc>
      </w:tr>
      <w:tr w:rsidR="005D1B22" w:rsidTr="001567A4">
        <w:trPr>
          <w:trHeight w:val="1322"/>
        </w:trPr>
        <w:tc>
          <w:tcPr>
            <w:tcW w:w="851"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1843"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b/>
                <w:sz w:val="22"/>
                <w:szCs w:val="22"/>
              </w:rPr>
            </w:pPr>
            <w:r>
              <w:rPr>
                <w:rFonts w:ascii="新宋体" w:eastAsia="新宋体" w:hAnsi="新宋体" w:cs="新宋体" w:hint="eastAsia"/>
                <w:sz w:val="22"/>
                <w:szCs w:val="22"/>
              </w:rPr>
              <w:t>培训方案</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对医院相关科室人员的培训方案，包括培训对象、培训内容、师资安排等比较打分。</w:t>
            </w:r>
          </w:p>
          <w:p w:rsidR="005D1B22" w:rsidRDefault="00657E85">
            <w:pPr>
              <w:pStyle w:val="BodyText1I"/>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A档：5-3分；B档：3-1分；C档：1-0分</w:t>
            </w:r>
          </w:p>
        </w:tc>
      </w:tr>
      <w:tr w:rsidR="005D1B22" w:rsidTr="001567A4">
        <w:trPr>
          <w:trHeight w:val="23"/>
        </w:trPr>
        <w:tc>
          <w:tcPr>
            <w:tcW w:w="851"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6</w:t>
            </w:r>
          </w:p>
        </w:tc>
        <w:tc>
          <w:tcPr>
            <w:tcW w:w="1843"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投标人业绩</w:t>
            </w:r>
          </w:p>
        </w:tc>
        <w:tc>
          <w:tcPr>
            <w:tcW w:w="1138" w:type="dxa"/>
            <w:shd w:val="clear" w:color="auto" w:fill="auto"/>
            <w:vAlign w:val="center"/>
          </w:tcPr>
          <w:p w:rsidR="005D1B22" w:rsidRDefault="00657E85">
            <w:pPr>
              <w:shd w:val="clear" w:color="auto" w:fill="FFFFFF" w:themeFill="background1"/>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10分</w:t>
            </w:r>
          </w:p>
        </w:tc>
        <w:tc>
          <w:tcPr>
            <w:tcW w:w="6642" w:type="dxa"/>
            <w:shd w:val="clear" w:color="auto" w:fill="auto"/>
            <w:vAlign w:val="center"/>
          </w:tcPr>
          <w:p w:rsidR="005D1B22" w:rsidRDefault="00657E85">
            <w:pPr>
              <w:shd w:val="clear" w:color="auto" w:fill="FFFFFF" w:themeFill="background1"/>
              <w:spacing w:line="460" w:lineRule="exact"/>
              <w:rPr>
                <w:rFonts w:ascii="新宋体" w:eastAsia="新宋体" w:hAnsi="新宋体" w:cs="新宋体"/>
                <w:sz w:val="22"/>
                <w:szCs w:val="22"/>
              </w:rPr>
            </w:pPr>
            <w:r>
              <w:rPr>
                <w:rFonts w:ascii="新宋体" w:eastAsia="新宋体" w:hAnsi="新宋体" w:cs="新宋体" w:hint="eastAsia"/>
                <w:sz w:val="22"/>
                <w:szCs w:val="22"/>
              </w:rPr>
              <w:t>投标商提供2018年1月1日至今排队设备、候诊显示设备、排队呼叫系统等运维合同复印件，每提供1个合同得2分，最多10分</w:t>
            </w:r>
            <w:r>
              <w:rPr>
                <w:rFonts w:ascii="新宋体" w:eastAsia="新宋体" w:hAnsi="新宋体" w:cs="新宋体"/>
                <w:sz w:val="22"/>
                <w:szCs w:val="22"/>
              </w:rPr>
              <w:t>。</w:t>
            </w:r>
          </w:p>
        </w:tc>
      </w:tr>
      <w:tr w:rsidR="005D1B22" w:rsidTr="001567A4">
        <w:trPr>
          <w:trHeight w:val="23"/>
        </w:trPr>
        <w:tc>
          <w:tcPr>
            <w:tcW w:w="851" w:type="dxa"/>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843" w:type="dxa"/>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1138" w:type="dxa"/>
            <w:shd w:val="clear" w:color="auto" w:fill="auto"/>
            <w:vAlign w:val="center"/>
          </w:tcPr>
          <w:p w:rsidR="005D1B22" w:rsidRDefault="005D1B22">
            <w:pPr>
              <w:shd w:val="clear" w:color="auto" w:fill="FFFFFF" w:themeFill="background1"/>
              <w:spacing w:line="460" w:lineRule="exact"/>
              <w:jc w:val="center"/>
              <w:rPr>
                <w:rFonts w:ascii="新宋体" w:eastAsia="新宋体" w:hAnsi="新宋体" w:cs="新宋体"/>
                <w:sz w:val="22"/>
                <w:szCs w:val="22"/>
              </w:rPr>
            </w:pPr>
          </w:p>
        </w:tc>
        <w:tc>
          <w:tcPr>
            <w:tcW w:w="6642" w:type="dxa"/>
            <w:shd w:val="clear" w:color="auto" w:fill="auto"/>
            <w:vAlign w:val="center"/>
          </w:tcPr>
          <w:p w:rsidR="005D1B22" w:rsidRDefault="005D1B22">
            <w:pPr>
              <w:shd w:val="clear" w:color="auto" w:fill="FFFFFF" w:themeFill="background1"/>
              <w:spacing w:line="460" w:lineRule="exact"/>
              <w:rPr>
                <w:rFonts w:ascii="新宋体" w:eastAsia="新宋体" w:hAnsi="新宋体" w:cs="新宋体"/>
                <w:sz w:val="22"/>
                <w:szCs w:val="22"/>
              </w:rPr>
            </w:pPr>
          </w:p>
        </w:tc>
      </w:tr>
    </w:tbl>
    <w:p w:rsidR="005D1B22" w:rsidRDefault="00657E85">
      <w:pPr>
        <w:pStyle w:val="a4"/>
        <w:spacing w:line="460" w:lineRule="exact"/>
        <w:ind w:firstLineChars="0" w:firstLine="0"/>
        <w:rPr>
          <w:rFonts w:ascii="新宋体" w:eastAsia="新宋体" w:hAnsi="新宋体" w:cs="新宋体"/>
          <w:b/>
          <w:sz w:val="22"/>
          <w:szCs w:val="22"/>
        </w:rPr>
      </w:pPr>
      <w:r>
        <w:rPr>
          <w:rFonts w:ascii="新宋体" w:eastAsia="新宋体" w:hAnsi="新宋体" w:cs="新宋体" w:hint="eastAsia"/>
          <w:b/>
          <w:sz w:val="22"/>
          <w:szCs w:val="22"/>
        </w:rPr>
        <w:t>2、报价评分（权值30%）：</w:t>
      </w:r>
    </w:p>
    <w:p w:rsidR="005D1B22" w:rsidRDefault="00657E85">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满足招标文件要求且投标报价最低的投标报价为评标基准价，其余投标人投标报价与该基准价对比，计算出商务报价评分值（保留小数2位）：</w:t>
      </w:r>
    </w:p>
    <w:p w:rsidR="005D1B22" w:rsidRDefault="00657E85">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1）有效投标人的投标报价等于评标基准价时其报价分为满分30分；</w:t>
      </w:r>
    </w:p>
    <w:p w:rsidR="005D1B22" w:rsidRDefault="00657E85">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2）其他投标人的价格分按以下公式计算：</w:t>
      </w:r>
    </w:p>
    <w:p w:rsidR="005D1B22" w:rsidRDefault="00657E85">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投标报价得分=（评分基准价/投标人投标报价）× 价格权值 ×100（保留小数2位）</w:t>
      </w:r>
    </w:p>
    <w:p w:rsidR="005D1B22" w:rsidRDefault="005D1B22"/>
    <w:sectPr w:rsidR="005D1B22" w:rsidSect="005D1B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A1" w:rsidRDefault="003A5EA1" w:rsidP="005553F0">
      <w:r>
        <w:separator/>
      </w:r>
    </w:p>
  </w:endnote>
  <w:endnote w:type="continuationSeparator" w:id="0">
    <w:p w:rsidR="003A5EA1" w:rsidRDefault="003A5EA1" w:rsidP="0055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A1" w:rsidRDefault="003A5EA1" w:rsidP="005553F0">
      <w:r>
        <w:separator/>
      </w:r>
    </w:p>
  </w:footnote>
  <w:footnote w:type="continuationSeparator" w:id="0">
    <w:p w:rsidR="003A5EA1" w:rsidRDefault="003A5EA1" w:rsidP="00555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1B22"/>
    <w:rsid w:val="00093064"/>
    <w:rsid w:val="001567A4"/>
    <w:rsid w:val="002163AC"/>
    <w:rsid w:val="0022276A"/>
    <w:rsid w:val="003A5EA1"/>
    <w:rsid w:val="005553F0"/>
    <w:rsid w:val="005D1B22"/>
    <w:rsid w:val="0065248A"/>
    <w:rsid w:val="00657E85"/>
    <w:rsid w:val="00B22404"/>
    <w:rsid w:val="00B46586"/>
    <w:rsid w:val="00B9626D"/>
    <w:rsid w:val="00BB208E"/>
    <w:rsid w:val="00BF38D8"/>
    <w:rsid w:val="00F9697D"/>
    <w:rsid w:val="68801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E3B02"/>
  <w15:docId w15:val="{194E070F-1EE6-460C-92A0-08889CD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D1B2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5D1B22"/>
    <w:pPr>
      <w:adjustRightInd w:val="0"/>
      <w:spacing w:line="312" w:lineRule="atLeast"/>
      <w:ind w:firstLine="420"/>
      <w:textAlignment w:val="baseline"/>
    </w:pPr>
    <w:rPr>
      <w:rFonts w:ascii="仿宋_GB2312"/>
      <w:b/>
      <w:kern w:val="0"/>
      <w:szCs w:val="32"/>
    </w:rPr>
  </w:style>
  <w:style w:type="paragraph" w:styleId="a4">
    <w:name w:val="Body Text Indent"/>
    <w:basedOn w:val="a"/>
    <w:qFormat/>
    <w:rsid w:val="005D1B22"/>
    <w:pPr>
      <w:ind w:left="480" w:hangingChars="200" w:hanging="480"/>
    </w:pPr>
    <w:rPr>
      <w:sz w:val="24"/>
    </w:rPr>
  </w:style>
  <w:style w:type="paragraph" w:customStyle="1" w:styleId="BodyText1I">
    <w:name w:val="BodyText1I"/>
    <w:basedOn w:val="BodyText"/>
    <w:qFormat/>
    <w:rsid w:val="005D1B22"/>
    <w:pPr>
      <w:ind w:firstLineChars="100" w:firstLine="420"/>
    </w:pPr>
  </w:style>
  <w:style w:type="paragraph" w:customStyle="1" w:styleId="BodyText">
    <w:name w:val="BodyText"/>
    <w:basedOn w:val="a"/>
    <w:qFormat/>
    <w:rsid w:val="005D1B22"/>
    <w:pPr>
      <w:spacing w:after="120"/>
    </w:pPr>
  </w:style>
  <w:style w:type="paragraph" w:styleId="a5">
    <w:name w:val="header"/>
    <w:basedOn w:val="a"/>
    <w:link w:val="a6"/>
    <w:rsid w:val="00555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5553F0"/>
    <w:rPr>
      <w:kern w:val="2"/>
      <w:sz w:val="18"/>
      <w:szCs w:val="18"/>
    </w:rPr>
  </w:style>
  <w:style w:type="paragraph" w:styleId="a7">
    <w:name w:val="footer"/>
    <w:basedOn w:val="a"/>
    <w:link w:val="a8"/>
    <w:rsid w:val="005553F0"/>
    <w:pPr>
      <w:tabs>
        <w:tab w:val="center" w:pos="4153"/>
        <w:tab w:val="right" w:pos="8306"/>
      </w:tabs>
      <w:snapToGrid w:val="0"/>
      <w:jc w:val="left"/>
    </w:pPr>
    <w:rPr>
      <w:sz w:val="18"/>
      <w:szCs w:val="18"/>
    </w:rPr>
  </w:style>
  <w:style w:type="character" w:customStyle="1" w:styleId="a8">
    <w:name w:val="页脚 字符"/>
    <w:basedOn w:val="a1"/>
    <w:link w:val="a7"/>
    <w:rsid w:val="005553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cp:lastPrinted>2020-09-22T10:14:00Z</cp:lastPrinted>
  <dcterms:created xsi:type="dcterms:W3CDTF">2020-09-14T06:51:00Z</dcterms:created>
  <dcterms:modified xsi:type="dcterms:W3CDTF">2020-09-24T02:46:00Z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