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138" w:rsidRDefault="005C6138" w:rsidP="005C6138">
      <w:pPr>
        <w:widowControl/>
        <w:spacing w:line="360" w:lineRule="auto"/>
        <w:jc w:val="center"/>
        <w:outlineLvl w:val="0"/>
        <w:rPr>
          <w:rFonts w:ascii="宋体" w:eastAsia="宋体" w:hAnsi="宋体" w:cs="Arial Unicode MS"/>
          <w:b/>
          <w:color w:val="000000"/>
          <w:kern w:val="0"/>
          <w:sz w:val="24"/>
          <w:szCs w:val="24"/>
        </w:rPr>
      </w:pPr>
      <w:r>
        <w:rPr>
          <w:rFonts w:ascii="宋体" w:eastAsia="宋体" w:hAnsi="宋体" w:cs="Arial Unicode MS" w:hint="eastAsia"/>
          <w:b/>
          <w:color w:val="000000"/>
          <w:kern w:val="0"/>
          <w:sz w:val="24"/>
          <w:szCs w:val="24"/>
        </w:rPr>
        <w:t>前置机服务器</w:t>
      </w:r>
    </w:p>
    <w:p w:rsidR="005C6138" w:rsidRDefault="005C6138" w:rsidP="005C6138">
      <w:pPr>
        <w:widowControl/>
        <w:spacing w:line="360" w:lineRule="auto"/>
        <w:outlineLvl w:val="0"/>
        <w:rPr>
          <w:rFonts w:ascii="宋体" w:eastAsia="宋体" w:hAnsi="宋体" w:cs="Arial Unicode MS"/>
          <w:b/>
          <w:color w:val="000000"/>
          <w:kern w:val="0"/>
          <w:sz w:val="24"/>
          <w:szCs w:val="24"/>
        </w:rPr>
      </w:pPr>
      <w:r>
        <w:rPr>
          <w:rFonts w:ascii="宋体" w:eastAsia="宋体" w:hAnsi="宋体" w:cs="Arial Unicode MS" w:hint="eastAsia"/>
          <w:b/>
          <w:color w:val="000000"/>
          <w:kern w:val="0"/>
          <w:sz w:val="24"/>
          <w:szCs w:val="24"/>
        </w:rPr>
        <w:t>一、</w:t>
      </w:r>
      <w:r w:rsidR="008013D2">
        <w:rPr>
          <w:rFonts w:ascii="宋体" w:eastAsia="宋体" w:hAnsi="宋体" w:cs="Arial Unicode MS" w:hint="eastAsia"/>
          <w:b/>
          <w:color w:val="000000"/>
          <w:kern w:val="0"/>
          <w:sz w:val="24"/>
          <w:szCs w:val="24"/>
        </w:rPr>
        <w:t>总</w:t>
      </w:r>
      <w:r>
        <w:rPr>
          <w:rFonts w:ascii="宋体" w:eastAsia="宋体" w:hAnsi="宋体" w:cs="Arial Unicode MS" w:hint="eastAsia"/>
          <w:b/>
          <w:color w:val="000000"/>
          <w:kern w:val="0"/>
          <w:sz w:val="24"/>
          <w:szCs w:val="24"/>
        </w:rPr>
        <w:t>预算：3.2万元</w:t>
      </w:r>
    </w:p>
    <w:p w:rsidR="005C6138" w:rsidRDefault="005C6138" w:rsidP="005C6138">
      <w:pPr>
        <w:widowControl/>
        <w:spacing w:line="360" w:lineRule="auto"/>
        <w:outlineLvl w:val="0"/>
        <w:rPr>
          <w:rFonts w:ascii="宋体" w:eastAsia="宋体" w:hAnsi="宋体" w:cs="Arial Unicode MS"/>
          <w:b/>
          <w:color w:val="000000"/>
          <w:kern w:val="0"/>
          <w:sz w:val="24"/>
          <w:szCs w:val="24"/>
        </w:rPr>
      </w:pPr>
      <w:r>
        <w:rPr>
          <w:rFonts w:ascii="宋体" w:eastAsia="宋体" w:hAnsi="宋体" w:cs="Arial Unicode MS" w:hint="eastAsia"/>
          <w:b/>
          <w:color w:val="000000"/>
          <w:kern w:val="0"/>
          <w:sz w:val="24"/>
          <w:szCs w:val="24"/>
        </w:rPr>
        <w:t>二、数量：2台</w:t>
      </w:r>
    </w:p>
    <w:p w:rsidR="002E6A7A" w:rsidRDefault="005C6138">
      <w:pPr>
        <w:pStyle w:val="a3"/>
        <w:widowControl/>
        <w:spacing w:line="360" w:lineRule="auto"/>
        <w:ind w:firstLineChars="0" w:firstLine="0"/>
        <w:jc w:val="left"/>
        <w:outlineLvl w:val="0"/>
        <w:rPr>
          <w:rFonts w:ascii="宋体" w:eastAsia="宋体" w:hAnsi="宋体" w:cs="Arial Unicode MS"/>
          <w:b/>
          <w:color w:val="000000"/>
          <w:kern w:val="0"/>
          <w:sz w:val="24"/>
          <w:szCs w:val="24"/>
        </w:rPr>
      </w:pPr>
      <w:r>
        <w:rPr>
          <w:rFonts w:ascii="宋体" w:eastAsia="宋体" w:hAnsi="宋体" w:cs="Arial Unicode MS" w:hint="eastAsia"/>
          <w:b/>
          <w:color w:val="000000"/>
          <w:kern w:val="0"/>
          <w:sz w:val="24"/>
          <w:szCs w:val="24"/>
          <w:lang w:val="en-US"/>
        </w:rPr>
        <w:t>三、服务器具体配置要求如下：</w:t>
      </w:r>
    </w:p>
    <w:tbl>
      <w:tblPr>
        <w:tblW w:w="8429" w:type="dxa"/>
        <w:tblInd w:w="93" w:type="dxa"/>
        <w:tblLayout w:type="fixed"/>
        <w:tblLook w:val="04A0"/>
      </w:tblPr>
      <w:tblGrid>
        <w:gridCol w:w="1575"/>
        <w:gridCol w:w="6854"/>
      </w:tblGrid>
      <w:tr w:rsidR="002E6A7A">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 xml:space="preserve">　指标项</w:t>
            </w:r>
          </w:p>
        </w:tc>
        <w:tc>
          <w:tcPr>
            <w:tcW w:w="6854" w:type="dxa"/>
            <w:tcBorders>
              <w:top w:val="single" w:sz="4" w:space="0" w:color="auto"/>
              <w:left w:val="nil"/>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招标参数要求</w:t>
            </w:r>
          </w:p>
        </w:tc>
      </w:tr>
      <w:tr w:rsidR="002E6A7A">
        <w:tc>
          <w:tcPr>
            <w:tcW w:w="1575" w:type="dxa"/>
            <w:tcBorders>
              <w:top w:val="nil"/>
              <w:left w:val="single" w:sz="4" w:space="0" w:color="auto"/>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制造商</w:t>
            </w:r>
          </w:p>
        </w:tc>
        <w:tc>
          <w:tcPr>
            <w:tcW w:w="6854" w:type="dxa"/>
            <w:tcBorders>
              <w:top w:val="nil"/>
              <w:left w:val="nil"/>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国内外知名厂商，要求2014-2016年IDC全球x86服务器市场销售量及金额排名前3位，提供IDC证明</w:t>
            </w:r>
          </w:p>
        </w:tc>
      </w:tr>
      <w:tr w:rsidR="002E6A7A">
        <w:tc>
          <w:tcPr>
            <w:tcW w:w="1575" w:type="dxa"/>
            <w:tcBorders>
              <w:top w:val="nil"/>
              <w:left w:val="single" w:sz="4" w:space="0" w:color="auto"/>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服务器架构</w:t>
            </w:r>
          </w:p>
        </w:tc>
        <w:tc>
          <w:tcPr>
            <w:tcW w:w="6854" w:type="dxa"/>
            <w:tcBorders>
              <w:top w:val="nil"/>
              <w:left w:val="nil"/>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2U机架式，标配原厂导轨</w:t>
            </w:r>
          </w:p>
        </w:tc>
      </w:tr>
      <w:tr w:rsidR="002E6A7A">
        <w:tc>
          <w:tcPr>
            <w:tcW w:w="1575" w:type="dxa"/>
            <w:tcBorders>
              <w:top w:val="nil"/>
              <w:left w:val="single" w:sz="4" w:space="0" w:color="auto"/>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★处理器要求</w:t>
            </w:r>
          </w:p>
        </w:tc>
        <w:tc>
          <w:tcPr>
            <w:tcW w:w="6854" w:type="dxa"/>
            <w:tcBorders>
              <w:top w:val="nil"/>
              <w:left w:val="nil"/>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配置≥1颗Intel 至强可扩展系列处理器 3106</w:t>
            </w:r>
          </w:p>
        </w:tc>
      </w:tr>
      <w:tr w:rsidR="002E6A7A">
        <w:tc>
          <w:tcPr>
            <w:tcW w:w="1575" w:type="dxa"/>
            <w:vMerge w:val="restart"/>
            <w:tcBorders>
              <w:top w:val="nil"/>
              <w:left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内存要求</w:t>
            </w:r>
          </w:p>
        </w:tc>
        <w:tc>
          <w:tcPr>
            <w:tcW w:w="6854" w:type="dxa"/>
            <w:tcBorders>
              <w:top w:val="nil"/>
              <w:left w:val="nil"/>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配置≥16GB 2666 DDR4，可扩展≥24个内存插槽，官方支持最大容量3T</w:t>
            </w:r>
          </w:p>
        </w:tc>
      </w:tr>
      <w:tr w:rsidR="002E6A7A">
        <w:tc>
          <w:tcPr>
            <w:tcW w:w="1575" w:type="dxa"/>
            <w:vMerge/>
            <w:tcBorders>
              <w:left w:val="single" w:sz="4" w:space="0" w:color="auto"/>
              <w:bottom w:val="single" w:sz="4" w:space="0" w:color="auto"/>
              <w:right w:val="single" w:sz="4" w:space="0" w:color="auto"/>
            </w:tcBorders>
            <w:shd w:val="clear" w:color="auto" w:fill="auto"/>
            <w:vAlign w:val="center"/>
          </w:tcPr>
          <w:p w:rsidR="002E6A7A" w:rsidRDefault="002E6A7A">
            <w:pPr>
              <w:spacing w:line="360" w:lineRule="auto"/>
              <w:rPr>
                <w:rFonts w:ascii="宋体" w:hAnsi="宋体"/>
                <w:szCs w:val="21"/>
              </w:rPr>
            </w:pPr>
          </w:p>
        </w:tc>
        <w:tc>
          <w:tcPr>
            <w:tcW w:w="6854" w:type="dxa"/>
            <w:tcBorders>
              <w:top w:val="nil"/>
              <w:left w:val="nil"/>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 xml:space="preserve">支持Advanced ECC、内存在线热备，具备内存主动式检测 </w:t>
            </w:r>
          </w:p>
        </w:tc>
      </w:tr>
      <w:tr w:rsidR="002E6A7A">
        <w:tc>
          <w:tcPr>
            <w:tcW w:w="1575" w:type="dxa"/>
            <w:vMerge w:val="restart"/>
            <w:tcBorders>
              <w:top w:val="nil"/>
              <w:left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硬盘及槽位要求</w:t>
            </w:r>
          </w:p>
        </w:tc>
        <w:tc>
          <w:tcPr>
            <w:tcW w:w="6854" w:type="dxa"/>
            <w:tcBorders>
              <w:top w:val="nil"/>
              <w:left w:val="nil"/>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配置≥2*600GB SAS 10k 硬盘，硬盘托架具备Raid重建时不可拔出硬盘提示指示灯。</w:t>
            </w:r>
          </w:p>
        </w:tc>
      </w:tr>
      <w:tr w:rsidR="002E6A7A">
        <w:tc>
          <w:tcPr>
            <w:tcW w:w="1575" w:type="dxa"/>
            <w:vMerge/>
            <w:tcBorders>
              <w:left w:val="single" w:sz="4" w:space="0" w:color="auto"/>
              <w:right w:val="single" w:sz="4" w:space="0" w:color="auto"/>
            </w:tcBorders>
            <w:shd w:val="clear" w:color="auto" w:fill="auto"/>
            <w:vAlign w:val="center"/>
          </w:tcPr>
          <w:p w:rsidR="002E6A7A" w:rsidRDefault="002E6A7A">
            <w:pPr>
              <w:spacing w:line="360" w:lineRule="auto"/>
              <w:rPr>
                <w:rFonts w:ascii="宋体" w:hAnsi="宋体"/>
                <w:szCs w:val="21"/>
              </w:rPr>
            </w:pPr>
          </w:p>
        </w:tc>
        <w:tc>
          <w:tcPr>
            <w:tcW w:w="6854" w:type="dxa"/>
            <w:tcBorders>
              <w:top w:val="nil"/>
              <w:left w:val="nil"/>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配置≥8个2.5寸热插拔硬盘槽位，可扩展至≥30个2.5寸热插拔硬盘槽位。最多支持20个NVMe SSD</w:t>
            </w:r>
          </w:p>
        </w:tc>
      </w:tr>
      <w:tr w:rsidR="002E6A7A">
        <w:tc>
          <w:tcPr>
            <w:tcW w:w="1575" w:type="dxa"/>
            <w:vMerge/>
            <w:tcBorders>
              <w:left w:val="single" w:sz="4" w:space="0" w:color="auto"/>
              <w:bottom w:val="single" w:sz="4" w:space="0" w:color="auto"/>
              <w:right w:val="single" w:sz="4" w:space="0" w:color="auto"/>
            </w:tcBorders>
            <w:shd w:val="clear" w:color="auto" w:fill="auto"/>
            <w:vAlign w:val="center"/>
          </w:tcPr>
          <w:p w:rsidR="002E6A7A" w:rsidRDefault="002E6A7A">
            <w:pPr>
              <w:spacing w:line="360" w:lineRule="auto"/>
              <w:rPr>
                <w:rFonts w:ascii="宋体" w:hAnsi="宋体"/>
                <w:szCs w:val="21"/>
              </w:rPr>
            </w:pPr>
          </w:p>
        </w:tc>
        <w:tc>
          <w:tcPr>
            <w:tcW w:w="6854" w:type="dxa"/>
            <w:tcBorders>
              <w:top w:val="nil"/>
              <w:left w:val="nil"/>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支持8GB双MicroSD和双M.2 SSD配置软Raid1，作为VMware虚拟化或者操作系统部署盘位</w:t>
            </w:r>
          </w:p>
        </w:tc>
      </w:tr>
      <w:tr w:rsidR="002E6A7A">
        <w:tc>
          <w:tcPr>
            <w:tcW w:w="1575" w:type="dxa"/>
            <w:tcBorders>
              <w:top w:val="nil"/>
              <w:left w:val="single" w:sz="4" w:space="0" w:color="auto"/>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阵列控制器</w:t>
            </w:r>
          </w:p>
        </w:tc>
        <w:tc>
          <w:tcPr>
            <w:tcW w:w="6854" w:type="dxa"/>
            <w:tcBorders>
              <w:top w:val="nil"/>
              <w:left w:val="nil"/>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标配≥1个SAS Raid阵列卡（不占用PCIE扩展槽），支持raid 0/1/10/5/6，支持RAID 1 ADM/RAID10 ADM (3盘镜像，调整缓存读写比例等功能)；实配≥2GB缓存，可选配4GB缓存，支持缓存数据保护，且后备保护时间不受限制；</w:t>
            </w:r>
          </w:p>
        </w:tc>
      </w:tr>
      <w:tr w:rsidR="002E6A7A">
        <w:tc>
          <w:tcPr>
            <w:tcW w:w="1575" w:type="dxa"/>
            <w:tcBorders>
              <w:top w:val="nil"/>
              <w:left w:val="single" w:sz="4" w:space="0" w:color="auto"/>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I/O插槽</w:t>
            </w:r>
          </w:p>
        </w:tc>
        <w:tc>
          <w:tcPr>
            <w:tcW w:w="6854" w:type="dxa"/>
            <w:tcBorders>
              <w:top w:val="nil"/>
              <w:left w:val="nil"/>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最多提供≥8个标准PCIE3.0插槽可用，同时提供阵列卡和网卡扩展</w:t>
            </w:r>
          </w:p>
        </w:tc>
      </w:tr>
      <w:tr w:rsidR="002E6A7A">
        <w:tc>
          <w:tcPr>
            <w:tcW w:w="1575" w:type="dxa"/>
            <w:tcBorders>
              <w:top w:val="nil"/>
              <w:left w:val="single" w:sz="4" w:space="0" w:color="auto"/>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网卡</w:t>
            </w:r>
          </w:p>
        </w:tc>
        <w:tc>
          <w:tcPr>
            <w:tcW w:w="6854" w:type="dxa"/>
            <w:tcBorders>
              <w:top w:val="nil"/>
              <w:left w:val="nil"/>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主板集成4个千兆以太电口网卡，要求BCM5719控制芯片，要求额外提供≥1个网卡专用插槽（不占用PCIE扩展槽），可选配千兆或万兆网卡。</w:t>
            </w:r>
          </w:p>
        </w:tc>
      </w:tr>
      <w:tr w:rsidR="002E6A7A">
        <w:tc>
          <w:tcPr>
            <w:tcW w:w="1575" w:type="dxa"/>
            <w:tcBorders>
              <w:top w:val="nil"/>
              <w:left w:val="single" w:sz="4" w:space="0" w:color="auto"/>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接口</w:t>
            </w:r>
          </w:p>
        </w:tc>
        <w:tc>
          <w:tcPr>
            <w:tcW w:w="6854" w:type="dxa"/>
            <w:tcBorders>
              <w:top w:val="nil"/>
              <w:left w:val="nil"/>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提供≥5个USB3.0接口，最高可扩展至7个USB接口；</w:t>
            </w:r>
            <w:r>
              <w:rPr>
                <w:rFonts w:ascii="宋体" w:hAnsi="宋体" w:hint="eastAsia"/>
                <w:szCs w:val="21"/>
              </w:rPr>
              <w:br/>
              <w:t>支持后部独立的管理端口，支持前面板独立管理端口。</w:t>
            </w:r>
          </w:p>
        </w:tc>
      </w:tr>
      <w:tr w:rsidR="002E6A7A">
        <w:tc>
          <w:tcPr>
            <w:tcW w:w="1575" w:type="dxa"/>
            <w:tcBorders>
              <w:top w:val="nil"/>
              <w:left w:val="single" w:sz="4" w:space="0" w:color="auto"/>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冗余电源</w:t>
            </w:r>
          </w:p>
        </w:tc>
        <w:tc>
          <w:tcPr>
            <w:tcW w:w="6854" w:type="dxa"/>
            <w:tcBorders>
              <w:top w:val="nil"/>
              <w:left w:val="nil"/>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bookmarkStart w:id="0" w:name="_GoBack"/>
            <w:bookmarkEnd w:id="0"/>
            <w:r>
              <w:rPr>
                <w:rFonts w:ascii="宋体" w:hAnsi="宋体" w:hint="eastAsia"/>
                <w:szCs w:val="21"/>
              </w:rPr>
              <w:t>1个500w铂金版热插拔冗余电源，支持96%能效比的钛金版电源选件</w:t>
            </w:r>
          </w:p>
        </w:tc>
      </w:tr>
      <w:tr w:rsidR="002E6A7A">
        <w:tc>
          <w:tcPr>
            <w:tcW w:w="1575" w:type="dxa"/>
            <w:tcBorders>
              <w:top w:val="nil"/>
              <w:left w:val="single" w:sz="4" w:space="0" w:color="auto"/>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冗余风扇</w:t>
            </w:r>
          </w:p>
        </w:tc>
        <w:tc>
          <w:tcPr>
            <w:tcW w:w="6854" w:type="dxa"/>
            <w:tcBorders>
              <w:top w:val="nil"/>
              <w:left w:val="nil"/>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热插拔冗余风扇</w:t>
            </w:r>
          </w:p>
        </w:tc>
      </w:tr>
      <w:tr w:rsidR="002E6A7A">
        <w:tc>
          <w:tcPr>
            <w:tcW w:w="1575" w:type="dxa"/>
            <w:tcBorders>
              <w:top w:val="nil"/>
              <w:left w:val="single" w:sz="4" w:space="0" w:color="auto"/>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工作温度</w:t>
            </w:r>
          </w:p>
        </w:tc>
        <w:tc>
          <w:tcPr>
            <w:tcW w:w="6854" w:type="dxa"/>
            <w:tcBorders>
              <w:top w:val="nil"/>
              <w:left w:val="nil"/>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符合ASHARE A4标准，5-45°C标准工作温度</w:t>
            </w:r>
          </w:p>
        </w:tc>
      </w:tr>
      <w:tr w:rsidR="002E6A7A">
        <w:tc>
          <w:tcPr>
            <w:tcW w:w="1575" w:type="dxa"/>
            <w:vMerge w:val="restart"/>
            <w:tcBorders>
              <w:top w:val="nil"/>
              <w:left w:val="single" w:sz="4" w:space="0" w:color="auto"/>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lastRenderedPageBreak/>
              <w:t>嵌入式管理</w:t>
            </w:r>
          </w:p>
        </w:tc>
        <w:tc>
          <w:tcPr>
            <w:tcW w:w="6854" w:type="dxa"/>
            <w:tcBorders>
              <w:top w:val="nil"/>
              <w:left w:val="nil"/>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配置≥1Gb独立的远程管理控制端口，可选配置前面板独立的USB管理端口。</w:t>
            </w:r>
            <w:r>
              <w:rPr>
                <w:rFonts w:ascii="宋体" w:hAnsi="宋体" w:hint="eastAsia"/>
                <w:szCs w:val="21"/>
              </w:rPr>
              <w:br/>
              <w:t>配置虚拟KVM功能, 可实现与操作系统无关的远程对服务器的完全控制，包括远程的开机、关机、重启、更新Firmware、虚拟软驱、虚拟光驱、虚拟文件夹等操作，提供服务器健康日记、服务器控制台录屏/回放功能，能够提供电源监控，支持3D图形化的机箱内部温度拓扑图显示，可支持动态功率封顶。</w:t>
            </w:r>
          </w:p>
        </w:tc>
      </w:tr>
      <w:tr w:rsidR="002E6A7A">
        <w:tc>
          <w:tcPr>
            <w:tcW w:w="1575" w:type="dxa"/>
            <w:vMerge/>
            <w:tcBorders>
              <w:top w:val="nil"/>
              <w:left w:val="single" w:sz="4" w:space="0" w:color="auto"/>
              <w:bottom w:val="single" w:sz="4" w:space="0" w:color="auto"/>
              <w:right w:val="single" w:sz="4" w:space="0" w:color="auto"/>
            </w:tcBorders>
            <w:vAlign w:val="center"/>
          </w:tcPr>
          <w:p w:rsidR="002E6A7A" w:rsidRDefault="002E6A7A">
            <w:pPr>
              <w:spacing w:line="360" w:lineRule="auto"/>
              <w:rPr>
                <w:rFonts w:ascii="宋体" w:hAnsi="宋体"/>
                <w:szCs w:val="21"/>
              </w:rPr>
            </w:pPr>
          </w:p>
        </w:tc>
        <w:tc>
          <w:tcPr>
            <w:tcW w:w="6854" w:type="dxa"/>
            <w:tcBorders>
              <w:top w:val="nil"/>
              <w:left w:val="nil"/>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配置4GB Flash，可存放系统日志，内嵌操作系统导航安装环境，实现无物理光盘介质部署操作系统。</w:t>
            </w:r>
          </w:p>
        </w:tc>
      </w:tr>
      <w:tr w:rsidR="002E6A7A">
        <w:tc>
          <w:tcPr>
            <w:tcW w:w="1575" w:type="dxa"/>
            <w:vMerge/>
            <w:tcBorders>
              <w:top w:val="nil"/>
              <w:left w:val="single" w:sz="4" w:space="0" w:color="auto"/>
              <w:bottom w:val="single" w:sz="4" w:space="0" w:color="auto"/>
              <w:right w:val="single" w:sz="4" w:space="0" w:color="auto"/>
            </w:tcBorders>
            <w:vAlign w:val="center"/>
          </w:tcPr>
          <w:p w:rsidR="002E6A7A" w:rsidRDefault="002E6A7A">
            <w:pPr>
              <w:spacing w:line="360" w:lineRule="auto"/>
              <w:rPr>
                <w:rFonts w:ascii="宋体" w:hAnsi="宋体"/>
                <w:szCs w:val="21"/>
              </w:rPr>
            </w:pPr>
          </w:p>
        </w:tc>
        <w:tc>
          <w:tcPr>
            <w:tcW w:w="6854" w:type="dxa"/>
            <w:tcBorders>
              <w:top w:val="nil"/>
              <w:left w:val="nil"/>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支持基于嵌入式管理的硬件性能调优功能，针对延迟敏感型工作负载，可实现CPU在高于额定频率之上的稳定频率输出；可实现利用预配置的配置文件，自动调优内部服务器资源；可实现在更多的处理器内核上启用英特尔睿频技术所提供的更高的性能。</w:t>
            </w:r>
          </w:p>
        </w:tc>
      </w:tr>
      <w:tr w:rsidR="002E6A7A">
        <w:tc>
          <w:tcPr>
            <w:tcW w:w="1575" w:type="dxa"/>
            <w:vMerge/>
            <w:tcBorders>
              <w:top w:val="nil"/>
              <w:left w:val="single" w:sz="4" w:space="0" w:color="auto"/>
              <w:bottom w:val="single" w:sz="4" w:space="0" w:color="auto"/>
              <w:right w:val="single" w:sz="4" w:space="0" w:color="auto"/>
            </w:tcBorders>
            <w:vAlign w:val="center"/>
          </w:tcPr>
          <w:p w:rsidR="002E6A7A" w:rsidRDefault="002E6A7A">
            <w:pPr>
              <w:spacing w:line="360" w:lineRule="auto"/>
              <w:rPr>
                <w:rFonts w:ascii="宋体" w:hAnsi="宋体"/>
                <w:szCs w:val="21"/>
              </w:rPr>
            </w:pPr>
          </w:p>
        </w:tc>
        <w:tc>
          <w:tcPr>
            <w:tcW w:w="6854" w:type="dxa"/>
            <w:tcBorders>
              <w:top w:val="nil"/>
              <w:left w:val="nil"/>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嵌入式管理工具支持联合管理功能，无需软件即可实现多台服务器统一管理功能，如监控硬件健康状况，固件升级等。</w:t>
            </w:r>
          </w:p>
        </w:tc>
      </w:tr>
      <w:tr w:rsidR="002E6A7A">
        <w:tc>
          <w:tcPr>
            <w:tcW w:w="1575" w:type="dxa"/>
            <w:vMerge/>
            <w:tcBorders>
              <w:top w:val="nil"/>
              <w:left w:val="single" w:sz="4" w:space="0" w:color="auto"/>
              <w:bottom w:val="single" w:sz="4" w:space="0" w:color="auto"/>
              <w:right w:val="single" w:sz="4" w:space="0" w:color="auto"/>
            </w:tcBorders>
            <w:vAlign w:val="center"/>
          </w:tcPr>
          <w:p w:rsidR="002E6A7A" w:rsidRDefault="002E6A7A">
            <w:pPr>
              <w:spacing w:line="360" w:lineRule="auto"/>
              <w:rPr>
                <w:rFonts w:ascii="宋体" w:hAnsi="宋体"/>
                <w:szCs w:val="21"/>
              </w:rPr>
            </w:pPr>
          </w:p>
        </w:tc>
        <w:tc>
          <w:tcPr>
            <w:tcW w:w="6854" w:type="dxa"/>
            <w:tcBorders>
              <w:top w:val="nil"/>
              <w:left w:val="nil"/>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免费提供升级工具，无需安装代理即可可统一升级同一网络中服务器的固件及驱动程序。</w:t>
            </w:r>
          </w:p>
        </w:tc>
      </w:tr>
      <w:tr w:rsidR="002E6A7A">
        <w:tc>
          <w:tcPr>
            <w:tcW w:w="1575" w:type="dxa"/>
            <w:vMerge w:val="restart"/>
            <w:tcBorders>
              <w:top w:val="nil"/>
              <w:left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★管理芯片安全功能</w:t>
            </w:r>
          </w:p>
        </w:tc>
        <w:tc>
          <w:tcPr>
            <w:tcW w:w="6854" w:type="dxa"/>
            <w:tcBorders>
              <w:top w:val="nil"/>
              <w:left w:val="nil"/>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可信硅根技术：提供基于芯片级别的安全技术，管理芯片原厂商设计和生产，管理芯片功能代码在芯片生产阶段一次性写入；</w:t>
            </w:r>
            <w:r>
              <w:rPr>
                <w:rFonts w:ascii="宋体" w:hAnsi="宋体" w:hint="eastAsia"/>
                <w:szCs w:val="21"/>
              </w:rPr>
              <w:br/>
              <w:t>提供管理芯片运行期间的实时监测，提供防篡改升级、固件安全恢复、固件回滚和固件安全擦除技术，可在监测到威胁时基于上述技术采取处理措施，保护系统安全。</w:t>
            </w:r>
          </w:p>
        </w:tc>
      </w:tr>
      <w:tr w:rsidR="002E6A7A">
        <w:tc>
          <w:tcPr>
            <w:tcW w:w="1575" w:type="dxa"/>
            <w:vMerge/>
            <w:tcBorders>
              <w:left w:val="single" w:sz="4" w:space="0" w:color="auto"/>
              <w:bottom w:val="single" w:sz="4" w:space="0" w:color="auto"/>
              <w:right w:val="single" w:sz="4" w:space="0" w:color="auto"/>
            </w:tcBorders>
            <w:shd w:val="clear" w:color="auto" w:fill="auto"/>
            <w:vAlign w:val="center"/>
          </w:tcPr>
          <w:p w:rsidR="002E6A7A" w:rsidRDefault="002E6A7A">
            <w:pPr>
              <w:spacing w:line="360" w:lineRule="auto"/>
              <w:rPr>
                <w:rFonts w:ascii="宋体" w:hAnsi="宋体"/>
                <w:szCs w:val="21"/>
              </w:rPr>
            </w:pPr>
          </w:p>
        </w:tc>
        <w:tc>
          <w:tcPr>
            <w:tcW w:w="6854" w:type="dxa"/>
            <w:tcBorders>
              <w:top w:val="nil"/>
              <w:left w:val="nil"/>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提供UEFI安全启动；</w:t>
            </w:r>
            <w:r>
              <w:rPr>
                <w:rFonts w:ascii="宋体" w:hAnsi="宋体" w:hint="eastAsia"/>
                <w:szCs w:val="21"/>
              </w:rPr>
              <w:br/>
              <w:t>可配置机箱入侵侦测，在外部打开机箱时提供报警功能。</w:t>
            </w:r>
          </w:p>
        </w:tc>
      </w:tr>
      <w:tr w:rsidR="002E6A7A">
        <w:tc>
          <w:tcPr>
            <w:tcW w:w="1575" w:type="dxa"/>
            <w:tcBorders>
              <w:top w:val="nil"/>
              <w:left w:val="single" w:sz="4" w:space="0" w:color="auto"/>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服务</w:t>
            </w:r>
          </w:p>
        </w:tc>
        <w:tc>
          <w:tcPr>
            <w:tcW w:w="6854" w:type="dxa"/>
            <w:tcBorders>
              <w:top w:val="nil"/>
              <w:left w:val="nil"/>
              <w:bottom w:val="single" w:sz="4" w:space="0" w:color="auto"/>
              <w:right w:val="single" w:sz="4" w:space="0" w:color="auto"/>
            </w:tcBorders>
            <w:shd w:val="clear" w:color="auto" w:fill="auto"/>
            <w:vAlign w:val="center"/>
          </w:tcPr>
          <w:p w:rsidR="002E6A7A" w:rsidRDefault="005A3579">
            <w:pPr>
              <w:spacing w:line="360" w:lineRule="auto"/>
              <w:rPr>
                <w:rFonts w:ascii="宋体" w:hAnsi="宋体"/>
                <w:szCs w:val="21"/>
              </w:rPr>
            </w:pPr>
            <w:r>
              <w:rPr>
                <w:rFonts w:ascii="宋体" w:hAnsi="宋体" w:hint="eastAsia"/>
                <w:szCs w:val="21"/>
              </w:rPr>
              <w:t>提供原厂三年质保，中标后7个工作日内提供原厂质保函原件</w:t>
            </w:r>
          </w:p>
        </w:tc>
      </w:tr>
    </w:tbl>
    <w:p w:rsidR="002E6A7A" w:rsidRPr="005C6138" w:rsidRDefault="005A3579" w:rsidP="005C6138">
      <w:pPr>
        <w:pStyle w:val="a3"/>
        <w:widowControl/>
        <w:numPr>
          <w:ilvl w:val="0"/>
          <w:numId w:val="3"/>
        </w:numPr>
        <w:spacing w:line="360" w:lineRule="auto"/>
        <w:ind w:firstLineChars="0"/>
        <w:jc w:val="left"/>
        <w:outlineLvl w:val="0"/>
        <w:rPr>
          <w:rFonts w:ascii="宋体" w:eastAsia="宋体" w:hAnsi="宋体" w:cs="Arial Unicode MS"/>
          <w:b/>
          <w:kern w:val="0"/>
          <w:sz w:val="24"/>
          <w:szCs w:val="24"/>
        </w:rPr>
      </w:pPr>
      <w:r w:rsidRPr="005C6138">
        <w:rPr>
          <w:rFonts w:ascii="宋体" w:eastAsia="宋体" w:hAnsi="宋体" w:cs="Arial Unicode MS" w:hint="eastAsia"/>
          <w:b/>
          <w:kern w:val="0"/>
          <w:sz w:val="24"/>
          <w:szCs w:val="24"/>
        </w:rPr>
        <w:t>系统集成服务（1套）</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2"/>
        <w:gridCol w:w="6750"/>
      </w:tblGrid>
      <w:tr w:rsidR="002E6A7A">
        <w:trPr>
          <w:trHeight w:val="415"/>
        </w:trPr>
        <w:tc>
          <w:tcPr>
            <w:tcW w:w="1722" w:type="dxa"/>
            <w:vAlign w:val="center"/>
          </w:tcPr>
          <w:p w:rsidR="002E6A7A" w:rsidRDefault="005A3579">
            <w:pPr>
              <w:spacing w:line="360" w:lineRule="auto"/>
              <w:rPr>
                <w:rFonts w:ascii="宋体" w:hAnsi="宋体"/>
                <w:szCs w:val="21"/>
              </w:rPr>
            </w:pPr>
            <w:r>
              <w:rPr>
                <w:rFonts w:ascii="宋体" w:hAnsi="宋体" w:hint="eastAsia"/>
                <w:szCs w:val="21"/>
              </w:rPr>
              <w:t>指标项</w:t>
            </w:r>
          </w:p>
        </w:tc>
        <w:tc>
          <w:tcPr>
            <w:tcW w:w="6750" w:type="dxa"/>
            <w:vAlign w:val="center"/>
          </w:tcPr>
          <w:p w:rsidR="002E6A7A" w:rsidRDefault="005A3579">
            <w:pPr>
              <w:spacing w:line="360" w:lineRule="auto"/>
              <w:rPr>
                <w:rFonts w:ascii="宋体" w:hAnsi="宋体"/>
                <w:szCs w:val="21"/>
              </w:rPr>
            </w:pPr>
            <w:r>
              <w:rPr>
                <w:rFonts w:ascii="宋体" w:hAnsi="宋体" w:hint="eastAsia"/>
                <w:szCs w:val="21"/>
              </w:rPr>
              <w:t>技术规格要求</w:t>
            </w:r>
          </w:p>
        </w:tc>
      </w:tr>
      <w:tr w:rsidR="002E6A7A">
        <w:trPr>
          <w:trHeight w:val="415"/>
        </w:trPr>
        <w:tc>
          <w:tcPr>
            <w:tcW w:w="1722" w:type="dxa"/>
            <w:vAlign w:val="center"/>
          </w:tcPr>
          <w:p w:rsidR="002E6A7A" w:rsidRDefault="005A3579">
            <w:pPr>
              <w:spacing w:line="360" w:lineRule="auto"/>
              <w:rPr>
                <w:rFonts w:ascii="宋体" w:hAnsi="宋体"/>
                <w:szCs w:val="21"/>
              </w:rPr>
            </w:pPr>
            <w:r>
              <w:rPr>
                <w:rFonts w:ascii="宋体" w:hAnsi="宋体" w:hint="eastAsia"/>
                <w:szCs w:val="21"/>
              </w:rPr>
              <w:t>集成服务</w:t>
            </w:r>
          </w:p>
        </w:tc>
        <w:tc>
          <w:tcPr>
            <w:tcW w:w="6750" w:type="dxa"/>
            <w:vAlign w:val="center"/>
          </w:tcPr>
          <w:p w:rsidR="002E6A7A" w:rsidRDefault="005A3579">
            <w:pPr>
              <w:spacing w:line="360" w:lineRule="auto"/>
              <w:rPr>
                <w:rFonts w:ascii="宋体" w:hAnsi="宋体"/>
                <w:szCs w:val="21"/>
              </w:rPr>
            </w:pPr>
            <w:r>
              <w:rPr>
                <w:rFonts w:ascii="宋体" w:hAnsi="宋体" w:hint="eastAsia"/>
                <w:szCs w:val="21"/>
              </w:rPr>
              <w:t>1、投标商须在温州设有售后服务机构（以营业执照为准），维保期内提供免费的技术支持和升级服务，提供本地化的现场技术保障服务。</w:t>
            </w:r>
          </w:p>
          <w:p w:rsidR="002E6A7A" w:rsidRDefault="005A3579">
            <w:pPr>
              <w:spacing w:line="360" w:lineRule="auto"/>
              <w:rPr>
                <w:rFonts w:ascii="宋体" w:hAnsi="宋体"/>
                <w:szCs w:val="21"/>
              </w:rPr>
            </w:pPr>
            <w:r>
              <w:rPr>
                <w:rFonts w:ascii="宋体" w:hAnsi="宋体" w:hint="eastAsia"/>
                <w:szCs w:val="21"/>
              </w:rPr>
              <w:lastRenderedPageBreak/>
              <w:t>2、原厂至少三年7*24小时技术服务响应和支持，接到用户故障申告电话后于30分钟内做出响应，须在第一时间接收客户需求并予以必要支持，原厂服务工程师将于4小时内到达现场。服务工程师到达用户现场后，如果属于设备硬件问题，将在2小时内排除障碍。如4小时内未能解决的故障，需提供型号相同或兼容、性能等同于或高于该故障机的备用机。</w:t>
            </w:r>
          </w:p>
          <w:p w:rsidR="002E6A7A" w:rsidRDefault="005A3579">
            <w:pPr>
              <w:spacing w:line="360" w:lineRule="auto"/>
              <w:rPr>
                <w:rFonts w:ascii="宋体" w:hAnsi="宋体"/>
                <w:szCs w:val="21"/>
              </w:rPr>
            </w:pPr>
            <w:r>
              <w:rPr>
                <w:rFonts w:ascii="宋体" w:hAnsi="宋体"/>
                <w:szCs w:val="21"/>
              </w:rPr>
              <w:t>3</w:t>
            </w:r>
            <w:r>
              <w:rPr>
                <w:rFonts w:ascii="宋体" w:hAnsi="宋体" w:hint="eastAsia"/>
                <w:szCs w:val="21"/>
              </w:rPr>
              <w:t>、★投标商须自备一套安恒等保工具箱安全检测工具，为本次投标所有设备提供安全检查和加固服务。安全工具的功能主要包括：</w:t>
            </w:r>
            <w:hyperlink r:id="rId8" w:anchor="_Toc486497395" w:history="1">
              <w:r>
                <w:rPr>
                  <w:rFonts w:ascii="宋体" w:hAnsi="宋体" w:hint="eastAsia"/>
                  <w:szCs w:val="21"/>
                </w:rPr>
                <w:t>Windows主机配置检查工具、</w:t>
              </w:r>
            </w:hyperlink>
            <w:hyperlink r:id="rId9" w:anchor="_Toc486497396" w:history="1">
              <w:r>
                <w:rPr>
                  <w:rFonts w:ascii="宋体" w:hAnsi="宋体" w:hint="eastAsia"/>
                  <w:szCs w:val="21"/>
                </w:rPr>
                <w:t>Linux主机配置检查工具、</w:t>
              </w:r>
            </w:hyperlink>
            <w:hyperlink r:id="rId10" w:anchor="_Toc486497397" w:history="1">
              <w:r>
                <w:rPr>
                  <w:rFonts w:ascii="宋体" w:hAnsi="宋体" w:hint="eastAsia"/>
                  <w:szCs w:val="21"/>
                </w:rPr>
                <w:t>网络设备配置检查工具</w:t>
              </w:r>
            </w:hyperlink>
            <w:hyperlink r:id="rId11" w:anchor="_Toc486497399" w:history="1">
              <w:r>
                <w:rPr>
                  <w:rFonts w:ascii="宋体" w:hAnsi="宋体" w:hint="eastAsia"/>
                  <w:szCs w:val="21"/>
                </w:rPr>
                <w:t>、主机木马检查工具</w:t>
              </w:r>
            </w:hyperlink>
            <w:r>
              <w:rPr>
                <w:rFonts w:ascii="宋体" w:hAnsi="宋体" w:hint="eastAsia"/>
                <w:szCs w:val="21"/>
              </w:rPr>
              <w:t>、</w:t>
            </w:r>
            <w:hyperlink r:id="rId12" w:anchor="_Toc486497400" w:history="1">
              <w:r>
                <w:rPr>
                  <w:rFonts w:ascii="宋体" w:hAnsi="宋体" w:hint="eastAsia"/>
                  <w:szCs w:val="21"/>
                </w:rPr>
                <w:t>网站恶意代码检查工具、</w:t>
              </w:r>
            </w:hyperlink>
            <w:hyperlink r:id="rId13" w:anchor="_Toc486497401" w:history="1">
              <w:r>
                <w:rPr>
                  <w:rFonts w:ascii="宋体" w:hAnsi="宋体" w:hint="eastAsia"/>
                  <w:szCs w:val="21"/>
                </w:rPr>
                <w:t>弱口令检查工具、</w:t>
              </w:r>
            </w:hyperlink>
            <w:hyperlink r:id="rId14" w:anchor="_Toc486497402" w:history="1">
              <w:r>
                <w:rPr>
                  <w:rFonts w:ascii="宋体" w:hAnsi="宋体" w:hint="eastAsia"/>
                  <w:szCs w:val="21"/>
                </w:rPr>
                <w:t>数据库安全检查工具</w:t>
              </w:r>
            </w:hyperlink>
            <w:r>
              <w:rPr>
                <w:rFonts w:ascii="宋体" w:hAnsi="宋体" w:hint="eastAsia"/>
                <w:szCs w:val="21"/>
              </w:rPr>
              <w:t>等</w:t>
            </w:r>
          </w:p>
        </w:tc>
      </w:tr>
      <w:tr w:rsidR="002E6A7A">
        <w:trPr>
          <w:trHeight w:val="415"/>
        </w:trPr>
        <w:tc>
          <w:tcPr>
            <w:tcW w:w="1722" w:type="dxa"/>
            <w:vAlign w:val="center"/>
          </w:tcPr>
          <w:p w:rsidR="002E6A7A" w:rsidRDefault="005A3579">
            <w:pPr>
              <w:pStyle w:val="a4"/>
              <w:spacing w:line="360" w:lineRule="auto"/>
              <w:jc w:val="center"/>
              <w:rPr>
                <w:rFonts w:eastAsiaTheme="minorEastAsia" w:cstheme="minorBidi"/>
                <w:sz w:val="21"/>
                <w:szCs w:val="21"/>
              </w:rPr>
            </w:pPr>
            <w:r>
              <w:rPr>
                <w:rFonts w:eastAsiaTheme="minorEastAsia" w:cstheme="minorBidi" w:hint="eastAsia"/>
                <w:sz w:val="21"/>
                <w:szCs w:val="21"/>
              </w:rPr>
              <w:lastRenderedPageBreak/>
              <w:t>交货时间及地点</w:t>
            </w:r>
          </w:p>
        </w:tc>
        <w:tc>
          <w:tcPr>
            <w:tcW w:w="6750" w:type="dxa"/>
            <w:vAlign w:val="center"/>
          </w:tcPr>
          <w:p w:rsidR="002E6A7A" w:rsidRDefault="005A3579">
            <w:pPr>
              <w:pStyle w:val="a4"/>
              <w:spacing w:line="360" w:lineRule="auto"/>
              <w:jc w:val="left"/>
              <w:rPr>
                <w:rFonts w:eastAsiaTheme="minorEastAsia" w:cstheme="minorBidi"/>
                <w:sz w:val="21"/>
                <w:szCs w:val="21"/>
              </w:rPr>
            </w:pPr>
            <w:r>
              <w:rPr>
                <w:rFonts w:eastAsiaTheme="minorEastAsia" w:cstheme="minorBidi" w:hint="eastAsia"/>
                <w:sz w:val="21"/>
                <w:szCs w:val="21"/>
              </w:rPr>
              <w:t>投标人需承诺在签订合同后二个月内完成设备安装调试并投入业务试运行。</w:t>
            </w:r>
          </w:p>
        </w:tc>
      </w:tr>
      <w:tr w:rsidR="002E6A7A">
        <w:trPr>
          <w:trHeight w:val="415"/>
        </w:trPr>
        <w:tc>
          <w:tcPr>
            <w:tcW w:w="1722" w:type="dxa"/>
            <w:vAlign w:val="center"/>
          </w:tcPr>
          <w:p w:rsidR="002E6A7A" w:rsidRDefault="005A3579">
            <w:pPr>
              <w:pStyle w:val="a4"/>
              <w:spacing w:line="360" w:lineRule="auto"/>
              <w:jc w:val="center"/>
              <w:rPr>
                <w:rFonts w:eastAsiaTheme="minorEastAsia" w:cstheme="minorBidi"/>
                <w:sz w:val="21"/>
                <w:szCs w:val="21"/>
              </w:rPr>
            </w:pPr>
            <w:r>
              <w:rPr>
                <w:rFonts w:eastAsiaTheme="minorEastAsia" w:cstheme="minorBidi" w:hint="eastAsia"/>
                <w:sz w:val="21"/>
                <w:szCs w:val="21"/>
              </w:rPr>
              <w:t>培训</w:t>
            </w:r>
          </w:p>
        </w:tc>
        <w:tc>
          <w:tcPr>
            <w:tcW w:w="6750" w:type="dxa"/>
          </w:tcPr>
          <w:p w:rsidR="002E6A7A" w:rsidRDefault="005A3579">
            <w:pPr>
              <w:pStyle w:val="a4"/>
              <w:spacing w:line="360" w:lineRule="auto"/>
              <w:rPr>
                <w:rFonts w:eastAsiaTheme="minorEastAsia" w:cstheme="minorBidi"/>
                <w:sz w:val="21"/>
                <w:szCs w:val="21"/>
              </w:rPr>
            </w:pPr>
            <w:r>
              <w:rPr>
                <w:rFonts w:eastAsiaTheme="minorEastAsia" w:cstheme="minorBidi" w:hint="eastAsia"/>
                <w:sz w:val="21"/>
                <w:szCs w:val="21"/>
              </w:rPr>
              <w:t>针对本项目，对用户方的技术人员提供包括系统管理、硬件维护等培训内容，使用户方的相关人员能掌握关系设备的使用、维护和管理，达到能独立进行管理、故障处理、日常测试维护等工作的目的，以保障所提供的设备能够正常、安全的运行。</w:t>
            </w:r>
          </w:p>
        </w:tc>
      </w:tr>
    </w:tbl>
    <w:p w:rsidR="002E6A7A" w:rsidRDefault="002E6A7A">
      <w:pPr>
        <w:spacing w:line="360" w:lineRule="auto"/>
        <w:rPr>
          <w:rFonts w:ascii="宋体" w:eastAsia="宋体" w:hAnsi="宋体" w:cs="Arial Unicode MS"/>
          <w:b/>
          <w:color w:val="FF0000"/>
          <w:kern w:val="0"/>
          <w:sz w:val="24"/>
          <w:szCs w:val="24"/>
        </w:rPr>
      </w:pPr>
    </w:p>
    <w:p w:rsidR="002E6A7A" w:rsidRDefault="002E6A7A">
      <w:pPr>
        <w:rPr>
          <w:rFonts w:ascii="宋体" w:hAnsi="宋体"/>
          <w:sz w:val="24"/>
          <w:szCs w:val="28"/>
        </w:rPr>
      </w:pPr>
    </w:p>
    <w:sectPr w:rsidR="002E6A7A" w:rsidSect="002E6A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F05" w:rsidRDefault="003A3F05" w:rsidP="005C6138">
      <w:r>
        <w:separator/>
      </w:r>
    </w:p>
  </w:endnote>
  <w:endnote w:type="continuationSeparator" w:id="1">
    <w:p w:rsidR="003A3F05" w:rsidRDefault="003A3F05" w:rsidP="005C61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F05" w:rsidRDefault="003A3F05" w:rsidP="005C6138">
      <w:r>
        <w:separator/>
      </w:r>
    </w:p>
  </w:footnote>
  <w:footnote w:type="continuationSeparator" w:id="1">
    <w:p w:rsidR="003A3F05" w:rsidRDefault="003A3F05" w:rsidP="005C61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DDDB6B"/>
    <w:multiLevelType w:val="singleLevel"/>
    <w:tmpl w:val="C8DDDB6B"/>
    <w:lvl w:ilvl="0">
      <w:start w:val="1"/>
      <w:numFmt w:val="decimal"/>
      <w:lvlText w:val="%1."/>
      <w:lvlJc w:val="left"/>
      <w:pPr>
        <w:ind w:left="425" w:hanging="425"/>
      </w:pPr>
      <w:rPr>
        <w:rFonts w:hint="default"/>
      </w:rPr>
    </w:lvl>
  </w:abstractNum>
  <w:abstractNum w:abstractNumId="1">
    <w:nsid w:val="2057746B"/>
    <w:multiLevelType w:val="hybridMultilevel"/>
    <w:tmpl w:val="D99234E6"/>
    <w:lvl w:ilvl="0" w:tplc="AC5260B8">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E046EF4"/>
    <w:multiLevelType w:val="hybridMultilevel"/>
    <w:tmpl w:val="EC5282FA"/>
    <w:lvl w:ilvl="0" w:tplc="5D363B30">
      <w:start w:val="4"/>
      <w:numFmt w:val="decimal"/>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FF27F6D"/>
    <w:rsid w:val="002E6A7A"/>
    <w:rsid w:val="003A3F05"/>
    <w:rsid w:val="003D6C58"/>
    <w:rsid w:val="005A3579"/>
    <w:rsid w:val="005C6138"/>
    <w:rsid w:val="008013D2"/>
    <w:rsid w:val="2FF27F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6A7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E6A7A"/>
    <w:pPr>
      <w:ind w:firstLineChars="200" w:firstLine="420"/>
    </w:pPr>
    <w:rPr>
      <w:lang w:val="zh-CN"/>
    </w:rPr>
  </w:style>
  <w:style w:type="paragraph" w:styleId="a4">
    <w:name w:val="No Spacing"/>
    <w:uiPriority w:val="1"/>
    <w:qFormat/>
    <w:rsid w:val="002E6A7A"/>
    <w:pPr>
      <w:widowControl w:val="0"/>
      <w:jc w:val="both"/>
    </w:pPr>
    <w:rPr>
      <w:rFonts w:ascii="宋体" w:eastAsia="宋体" w:hAnsi="宋体" w:cs="Times New Roman"/>
      <w:kern w:val="2"/>
      <w:sz w:val="24"/>
      <w:szCs w:val="24"/>
    </w:rPr>
  </w:style>
  <w:style w:type="paragraph" w:styleId="a5">
    <w:name w:val="header"/>
    <w:basedOn w:val="a"/>
    <w:link w:val="Char"/>
    <w:rsid w:val="005C61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C6138"/>
    <w:rPr>
      <w:kern w:val="2"/>
      <w:sz w:val="18"/>
      <w:szCs w:val="18"/>
    </w:rPr>
  </w:style>
  <w:style w:type="paragraph" w:styleId="a6">
    <w:name w:val="footer"/>
    <w:basedOn w:val="a"/>
    <w:link w:val="Char0"/>
    <w:rsid w:val="005C6138"/>
    <w:pPr>
      <w:tabs>
        <w:tab w:val="center" w:pos="4153"/>
        <w:tab w:val="right" w:pos="8306"/>
      </w:tabs>
      <w:snapToGrid w:val="0"/>
      <w:jc w:val="left"/>
    </w:pPr>
    <w:rPr>
      <w:sz w:val="18"/>
      <w:szCs w:val="18"/>
    </w:rPr>
  </w:style>
  <w:style w:type="character" w:customStyle="1" w:styleId="Char0">
    <w:name w:val="页脚 Char"/>
    <w:basedOn w:val="a0"/>
    <w:link w:val="a6"/>
    <w:rsid w:val="005C613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file:///D:\&#39033;&#30446;\&#20844;&#23433;\&#24773;&#25253;&#25903;&#38431;\2017\&#31532;&#20845;&#37096;&#20998;%20%20%20&#35780;&#26631;&#21150;&#27861;1031.docx" TargetMode="External"/><Relationship Id="rId13" Type="http://schemas.openxmlformats.org/officeDocument/2006/relationships/hyperlink" Target="file:///D:\&#39033;&#30446;\&#20844;&#23433;\&#24773;&#25253;&#25903;&#38431;\2017\&#31532;&#20845;&#37096;&#20998;%20%20%20&#35780;&#26631;&#21150;&#27861;103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39033;&#30446;\&#20844;&#23433;\&#24773;&#25253;&#25903;&#38431;\2017\&#31532;&#20845;&#37096;&#20998;%20%20%20&#35780;&#26631;&#21150;&#27861;1031.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39033;&#30446;\&#20844;&#23433;\&#24773;&#25253;&#25903;&#38431;\2017\&#31532;&#20845;&#37096;&#20998;%20%20%20&#35780;&#26631;&#21150;&#27861;1031.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D:\&#39033;&#30446;\&#20844;&#23433;\&#24773;&#25253;&#25903;&#38431;\2017\&#31532;&#20845;&#37096;&#20998;%20%20%20&#35780;&#26631;&#21150;&#27861;1031.docx" TargetMode="External"/><Relationship Id="rId4" Type="http://schemas.openxmlformats.org/officeDocument/2006/relationships/settings" Target="settings.xml"/><Relationship Id="rId9" Type="http://schemas.openxmlformats.org/officeDocument/2006/relationships/hyperlink" Target="file:///D:\&#39033;&#30446;\&#20844;&#23433;\&#24773;&#25253;&#25903;&#38431;\2017\&#31532;&#20845;&#37096;&#20998;%20%20%20&#35780;&#26631;&#21150;&#27861;1031.docx" TargetMode="External"/><Relationship Id="rId14" Type="http://schemas.openxmlformats.org/officeDocument/2006/relationships/hyperlink" Target="file:///D:\&#39033;&#30446;\&#20844;&#23433;\&#24773;&#25253;&#25903;&#38431;\2017\&#31532;&#20845;&#37096;&#20998;%20%20%20&#35780;&#26631;&#21150;&#27861;103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大海</dc:creator>
  <cp:lastModifiedBy>Administrator</cp:lastModifiedBy>
  <cp:revision>3</cp:revision>
  <dcterms:created xsi:type="dcterms:W3CDTF">2019-07-23T03:12:00Z</dcterms:created>
  <dcterms:modified xsi:type="dcterms:W3CDTF">2019-08-02T01:10:00Z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