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ascii="宋体" w:hAnsi="宋体"/>
          <w:szCs w:val="21"/>
        </w:rPr>
      </w:pPr>
      <w:bookmarkStart w:id="0" w:name="_Toc144974478"/>
      <w:bookmarkStart w:id="1" w:name="_Toc152042286"/>
    </w:p>
    <w:p>
      <w:pPr>
        <w:spacing w:line="460" w:lineRule="exact"/>
        <w:rPr>
          <w:rFonts w:ascii="宋体" w:hAnsi="宋体"/>
          <w:szCs w:val="21"/>
        </w:rPr>
      </w:pPr>
    </w:p>
    <w:p>
      <w:pPr>
        <w:spacing w:line="460" w:lineRule="exact"/>
        <w:rPr>
          <w:rFonts w:ascii="宋体" w:hAnsi="宋体"/>
          <w:szCs w:val="21"/>
        </w:rPr>
      </w:pPr>
    </w:p>
    <w:p>
      <w:pPr>
        <w:spacing w:line="460" w:lineRule="exact"/>
        <w:rPr>
          <w:rFonts w:ascii="宋体" w:hAnsi="宋体"/>
          <w:szCs w:val="21"/>
        </w:rPr>
      </w:pPr>
    </w:p>
    <w:p>
      <w:pPr>
        <w:spacing w:line="360" w:lineRule="auto"/>
        <w:jc w:val="center"/>
        <w:rPr>
          <w:rFonts w:ascii="宋体" w:hAnsi="宋体" w:cs="Arial"/>
          <w:b/>
          <w:sz w:val="48"/>
          <w:szCs w:val="48"/>
        </w:rPr>
      </w:pPr>
      <w:r>
        <w:rPr>
          <w:rFonts w:hint="eastAsia" w:ascii="宋体" w:hAnsi="宋体" w:cs="Arial"/>
          <w:b/>
          <w:sz w:val="48"/>
          <w:szCs w:val="48"/>
        </w:rPr>
        <w:t>温州市中医院六虹桥院区综合楼病房玻璃门及门禁安装工程</w:t>
      </w:r>
    </w:p>
    <w:p>
      <w:pPr>
        <w:spacing w:line="540" w:lineRule="exact"/>
        <w:rPr>
          <w:rFonts w:ascii="宋体" w:hAnsi="宋体"/>
          <w:szCs w:val="21"/>
        </w:rPr>
      </w:pPr>
    </w:p>
    <w:p>
      <w:pPr>
        <w:spacing w:line="540" w:lineRule="exact"/>
        <w:rPr>
          <w:rFonts w:ascii="宋体" w:hAnsi="宋体"/>
          <w:szCs w:val="21"/>
        </w:rPr>
      </w:pPr>
    </w:p>
    <w:p>
      <w:pPr>
        <w:spacing w:line="540" w:lineRule="exact"/>
        <w:rPr>
          <w:rFonts w:ascii="宋体" w:hAnsi="宋体"/>
          <w:szCs w:val="21"/>
        </w:rPr>
      </w:pPr>
    </w:p>
    <w:p>
      <w:pPr>
        <w:jc w:val="center"/>
        <w:rPr>
          <w:rFonts w:ascii="黑体" w:hAnsi="宋体"/>
          <w:sz w:val="72"/>
          <w:szCs w:val="72"/>
        </w:rPr>
      </w:pPr>
      <w:r>
        <w:rPr>
          <w:rFonts w:hint="eastAsia" w:ascii="黑体" w:hAnsi="宋体"/>
          <w:sz w:val="72"/>
          <w:szCs w:val="72"/>
        </w:rPr>
        <w:t>招 标 文 件</w:t>
      </w:r>
    </w:p>
    <w:p>
      <w:pPr>
        <w:spacing w:line="540" w:lineRule="exact"/>
        <w:ind w:firstLine="437"/>
        <w:rPr>
          <w:rFonts w:ascii="宋体" w:hAnsi="宋体"/>
          <w:szCs w:val="21"/>
        </w:rPr>
      </w:pPr>
    </w:p>
    <w:p>
      <w:pPr>
        <w:spacing w:line="540" w:lineRule="exact"/>
        <w:ind w:firstLine="437"/>
        <w:rPr>
          <w:rFonts w:ascii="宋体" w:hAnsi="宋体"/>
          <w:szCs w:val="21"/>
        </w:rPr>
      </w:pPr>
    </w:p>
    <w:p>
      <w:pPr>
        <w:spacing w:line="540" w:lineRule="exact"/>
        <w:ind w:firstLine="437"/>
        <w:rPr>
          <w:rFonts w:ascii="宋体" w:hAnsi="宋体"/>
          <w:szCs w:val="21"/>
        </w:rPr>
      </w:pPr>
    </w:p>
    <w:p>
      <w:pPr>
        <w:spacing w:line="540" w:lineRule="exact"/>
        <w:ind w:firstLine="437"/>
        <w:rPr>
          <w:rFonts w:ascii="宋体" w:hAnsi="宋体"/>
          <w:szCs w:val="21"/>
        </w:rPr>
      </w:pPr>
    </w:p>
    <w:p>
      <w:pPr>
        <w:spacing w:line="540" w:lineRule="exact"/>
        <w:ind w:firstLine="437"/>
        <w:rPr>
          <w:rFonts w:ascii="宋体" w:hAnsi="宋体"/>
          <w:szCs w:val="21"/>
        </w:rPr>
      </w:pPr>
    </w:p>
    <w:p>
      <w:pPr>
        <w:spacing w:line="540" w:lineRule="exact"/>
        <w:ind w:firstLine="437"/>
        <w:rPr>
          <w:rFonts w:ascii="宋体" w:hAnsi="宋体"/>
          <w:szCs w:val="21"/>
        </w:rPr>
      </w:pPr>
    </w:p>
    <w:p>
      <w:pPr>
        <w:spacing w:line="540" w:lineRule="exact"/>
        <w:ind w:firstLine="437"/>
        <w:rPr>
          <w:rFonts w:ascii="宋体" w:hAnsi="宋体"/>
          <w:szCs w:val="21"/>
        </w:rPr>
      </w:pPr>
    </w:p>
    <w:p>
      <w:pPr>
        <w:spacing w:line="540" w:lineRule="exact"/>
        <w:ind w:firstLine="437"/>
        <w:rPr>
          <w:rFonts w:ascii="宋体" w:hAnsi="宋体"/>
          <w:szCs w:val="21"/>
        </w:rPr>
      </w:pPr>
    </w:p>
    <w:p>
      <w:pPr>
        <w:spacing w:line="360" w:lineRule="auto"/>
        <w:ind w:firstLine="450" w:firstLineChars="150"/>
        <w:rPr>
          <w:rFonts w:ascii="宋体" w:hAnsi="宋体" w:cs="Arial"/>
          <w:sz w:val="30"/>
          <w:szCs w:val="30"/>
        </w:rPr>
      </w:pPr>
    </w:p>
    <w:p>
      <w:pPr>
        <w:spacing w:line="360" w:lineRule="auto"/>
        <w:ind w:firstLine="450" w:firstLineChars="150"/>
        <w:rPr>
          <w:rFonts w:ascii="宋体" w:hAnsi="宋体" w:cs="Arial"/>
          <w:sz w:val="30"/>
          <w:szCs w:val="30"/>
          <w:u w:val="single"/>
        </w:rPr>
      </w:pPr>
      <w:r>
        <w:rPr>
          <w:rFonts w:ascii="宋体" w:hAnsi="宋体" w:cs="Arial"/>
          <w:sz w:val="30"/>
          <w:szCs w:val="30"/>
        </w:rPr>
        <w:t>招</w:t>
      </w:r>
      <w:r>
        <w:rPr>
          <w:rFonts w:hint="eastAsia" w:ascii="宋体" w:hAnsi="宋体" w:cs="Arial"/>
          <w:sz w:val="30"/>
          <w:szCs w:val="30"/>
        </w:rPr>
        <w:t xml:space="preserve">   </w:t>
      </w:r>
      <w:r>
        <w:rPr>
          <w:rFonts w:ascii="宋体" w:hAnsi="宋体" w:cs="Arial"/>
          <w:sz w:val="30"/>
          <w:szCs w:val="30"/>
        </w:rPr>
        <w:t>标</w:t>
      </w:r>
      <w:r>
        <w:rPr>
          <w:rFonts w:hint="eastAsia" w:ascii="宋体" w:hAnsi="宋体" w:cs="Arial"/>
          <w:sz w:val="30"/>
          <w:szCs w:val="30"/>
        </w:rPr>
        <w:t xml:space="preserve">   </w:t>
      </w:r>
      <w:r>
        <w:rPr>
          <w:rFonts w:ascii="宋体" w:hAnsi="宋体" w:cs="Arial"/>
          <w:sz w:val="30"/>
          <w:szCs w:val="30"/>
        </w:rPr>
        <w:t>人：</w:t>
      </w:r>
      <w:r>
        <w:rPr>
          <w:rFonts w:hint="eastAsia" w:ascii="宋体" w:hAnsi="宋体" w:cs="Arial"/>
          <w:sz w:val="30"/>
          <w:szCs w:val="30"/>
          <w:u w:val="single"/>
        </w:rPr>
        <w:t xml:space="preserve">温州市中医院              </w:t>
      </w:r>
      <w:r>
        <w:rPr>
          <w:rFonts w:ascii="宋体" w:hAnsi="宋体" w:cs="Arial"/>
          <w:sz w:val="30"/>
          <w:szCs w:val="30"/>
        </w:rPr>
        <w:t>（盖单位章）</w:t>
      </w:r>
    </w:p>
    <w:p>
      <w:pPr>
        <w:spacing w:line="360" w:lineRule="auto"/>
        <w:ind w:firstLine="450" w:firstLineChars="150"/>
        <w:rPr>
          <w:rFonts w:ascii="宋体" w:hAnsi="宋体" w:cs="Arial"/>
          <w:sz w:val="30"/>
          <w:szCs w:val="30"/>
        </w:rPr>
      </w:pPr>
      <w:r>
        <w:rPr>
          <w:rFonts w:ascii="宋体" w:hAnsi="宋体" w:cs="Arial"/>
          <w:sz w:val="30"/>
          <w:szCs w:val="30"/>
        </w:rPr>
        <w:t>招标代理机构：</w:t>
      </w:r>
      <w:r>
        <w:rPr>
          <w:rFonts w:hint="eastAsia" w:ascii="宋体" w:hAnsi="宋体" w:cs="Arial"/>
          <w:sz w:val="30"/>
          <w:szCs w:val="30"/>
          <w:u w:val="single"/>
        </w:rPr>
        <w:t>温州正大工程项目管理有限公司</w:t>
      </w:r>
      <w:r>
        <w:rPr>
          <w:rFonts w:ascii="宋体" w:hAnsi="宋体" w:cs="Arial"/>
          <w:sz w:val="30"/>
          <w:szCs w:val="30"/>
        </w:rPr>
        <w:t>（盖单位章）</w:t>
      </w:r>
    </w:p>
    <w:p>
      <w:pPr>
        <w:spacing w:line="540" w:lineRule="exact"/>
        <w:jc w:val="center"/>
        <w:rPr>
          <w:rFonts w:ascii="黑体" w:hAnsi="黑体"/>
          <w:b/>
          <w:bCs/>
          <w:sz w:val="32"/>
        </w:rPr>
      </w:pPr>
      <w:r>
        <w:rPr>
          <w:rFonts w:hint="eastAsia" w:ascii="宋体" w:hAnsi="宋体"/>
          <w:sz w:val="30"/>
          <w:szCs w:val="30"/>
        </w:rPr>
        <w:t>日期：</w:t>
      </w:r>
      <w:r>
        <w:rPr>
          <w:rFonts w:hint="eastAsia" w:ascii="黑体" w:hAnsi="宋体"/>
          <w:sz w:val="30"/>
          <w:szCs w:val="30"/>
          <w:u w:val="single"/>
        </w:rPr>
        <w:t>2019</w:t>
      </w:r>
      <w:r>
        <w:rPr>
          <w:rFonts w:hint="eastAsia" w:ascii="宋体" w:hAnsi="宋体"/>
          <w:sz w:val="30"/>
          <w:szCs w:val="30"/>
        </w:rPr>
        <w:t>年</w:t>
      </w:r>
      <w:r>
        <w:rPr>
          <w:rFonts w:hint="eastAsia" w:ascii="黑体" w:hAnsi="宋体"/>
          <w:sz w:val="30"/>
          <w:szCs w:val="30"/>
          <w:u w:val="single"/>
        </w:rPr>
        <w:t>6</w:t>
      </w:r>
      <w:r>
        <w:rPr>
          <w:rFonts w:hint="eastAsia" w:ascii="宋体" w:hAnsi="宋体"/>
          <w:sz w:val="30"/>
          <w:szCs w:val="30"/>
        </w:rPr>
        <w:t>月</w:t>
      </w:r>
    </w:p>
    <w:p>
      <w:pPr>
        <w:rPr>
          <w:rFonts w:ascii="黑体" w:eastAsia="黑体"/>
          <w:sz w:val="28"/>
          <w:szCs w:val="28"/>
          <w:u w:val="single"/>
        </w:rPr>
      </w:pPr>
    </w:p>
    <w:p>
      <w:pPr>
        <w:spacing w:line="500" w:lineRule="exact"/>
        <w:jc w:val="center"/>
        <w:rPr>
          <w:rFonts w:ascii="黑体" w:eastAsia="黑体"/>
          <w:sz w:val="32"/>
          <w:szCs w:val="32"/>
        </w:rPr>
      </w:pPr>
      <w:r>
        <w:rPr>
          <w:rFonts w:ascii="黑体" w:hAnsi="黑体" w:eastAsia="黑体"/>
          <w:b/>
          <w:bCs/>
          <w:sz w:val="32"/>
        </w:rPr>
        <w:br w:type="page"/>
      </w:r>
      <w:r>
        <w:rPr>
          <w:rFonts w:hint="eastAsia" w:ascii="黑体" w:eastAsia="黑体"/>
          <w:sz w:val="32"/>
          <w:szCs w:val="32"/>
        </w:rPr>
        <w:t>目     录</w:t>
      </w:r>
      <w:bookmarkEnd w:id="0"/>
      <w:bookmarkEnd w:id="1"/>
    </w:p>
    <w:p>
      <w:pPr>
        <w:rPr>
          <w:rFonts w:ascii="宋体" w:hAnsi="宋体"/>
        </w:rPr>
      </w:pPr>
    </w:p>
    <w:p>
      <w:pPr>
        <w:rPr>
          <w:rFonts w:ascii="宋体" w:hAnsi="宋体"/>
        </w:rPr>
      </w:pPr>
      <w:r>
        <w:rPr>
          <w:rFonts w:hint="eastAsia" w:ascii="宋体" w:hAnsi="宋体"/>
        </w:rPr>
        <w:t>第一章 招标公告</w:t>
      </w:r>
    </w:p>
    <w:p>
      <w:pPr>
        <w:rPr>
          <w:rFonts w:ascii="宋体" w:hAnsi="宋体"/>
        </w:rPr>
      </w:pPr>
      <w:r>
        <w:rPr>
          <w:rFonts w:hint="eastAsia" w:ascii="宋体" w:hAnsi="宋体"/>
        </w:rPr>
        <w:t>1、招标条件</w:t>
      </w:r>
    </w:p>
    <w:p>
      <w:pPr>
        <w:rPr>
          <w:rFonts w:ascii="宋体" w:hAnsi="宋体"/>
        </w:rPr>
      </w:pPr>
      <w:r>
        <w:rPr>
          <w:rFonts w:hint="eastAsia" w:ascii="宋体" w:hAnsi="宋体"/>
        </w:rPr>
        <w:t>2、项目概况与招标范围</w:t>
      </w:r>
    </w:p>
    <w:p>
      <w:pPr>
        <w:rPr>
          <w:rFonts w:ascii="宋体" w:hAnsi="宋体"/>
        </w:rPr>
      </w:pPr>
      <w:r>
        <w:rPr>
          <w:rFonts w:hint="eastAsia" w:ascii="宋体" w:hAnsi="宋体"/>
        </w:rPr>
        <w:t>3、投标人资格要求</w:t>
      </w:r>
    </w:p>
    <w:p>
      <w:pPr>
        <w:rPr>
          <w:rFonts w:ascii="宋体" w:hAnsi="宋体"/>
        </w:rPr>
      </w:pPr>
      <w:r>
        <w:rPr>
          <w:rFonts w:hint="eastAsia" w:ascii="宋体" w:hAnsi="宋体"/>
        </w:rPr>
        <w:t>4、招标文件的获取</w:t>
      </w:r>
    </w:p>
    <w:p>
      <w:pPr>
        <w:rPr>
          <w:rFonts w:ascii="宋体" w:hAnsi="宋体"/>
        </w:rPr>
      </w:pPr>
      <w:r>
        <w:rPr>
          <w:rFonts w:hint="eastAsia" w:ascii="宋体" w:hAnsi="宋体"/>
        </w:rPr>
        <w:t>5、投标文件的递交</w:t>
      </w:r>
    </w:p>
    <w:p>
      <w:pPr>
        <w:rPr>
          <w:rFonts w:ascii="宋体" w:hAnsi="宋体"/>
        </w:rPr>
      </w:pPr>
      <w:r>
        <w:rPr>
          <w:rFonts w:hint="eastAsia" w:ascii="宋体" w:hAnsi="宋体"/>
        </w:rPr>
        <w:t>6、发布公告的媒介</w:t>
      </w:r>
    </w:p>
    <w:p>
      <w:pPr>
        <w:rPr>
          <w:rFonts w:ascii="宋体" w:hAnsi="宋体"/>
        </w:rPr>
      </w:pPr>
      <w:r>
        <w:rPr>
          <w:rFonts w:hint="eastAsia" w:ascii="宋体" w:hAnsi="宋体"/>
        </w:rPr>
        <w:t>7、联系方式</w:t>
      </w:r>
    </w:p>
    <w:p>
      <w:pPr>
        <w:rPr>
          <w:rFonts w:ascii="宋体" w:hAnsi="宋体" w:cs="MingLiU"/>
          <w:kern w:val="0"/>
          <w:szCs w:val="21"/>
        </w:rPr>
      </w:pPr>
    </w:p>
    <w:p>
      <w:pPr>
        <w:rPr>
          <w:rFonts w:ascii="宋体" w:hAnsi="宋体" w:cs="MingLiU"/>
          <w:kern w:val="0"/>
          <w:szCs w:val="21"/>
        </w:rPr>
      </w:pPr>
      <w:r>
        <w:rPr>
          <w:rFonts w:hint="eastAsia" w:ascii="宋体" w:hAnsi="宋体" w:cs="MingLiU"/>
          <w:kern w:val="0"/>
          <w:szCs w:val="21"/>
        </w:rPr>
        <w:t>第二章 投标人须知</w:t>
      </w:r>
    </w:p>
    <w:p>
      <w:pPr>
        <w:rPr>
          <w:rFonts w:ascii="宋体" w:hAnsi="宋体" w:cs="MingLiU"/>
          <w:kern w:val="0"/>
          <w:szCs w:val="21"/>
        </w:rPr>
      </w:pPr>
      <w:r>
        <w:rPr>
          <w:rFonts w:hint="eastAsia" w:ascii="宋体" w:hAnsi="宋体" w:cs="MingLiU"/>
          <w:kern w:val="0"/>
          <w:szCs w:val="21"/>
        </w:rPr>
        <w:t>投标人须知前附表</w:t>
      </w:r>
    </w:p>
    <w:p>
      <w:pPr>
        <w:rPr>
          <w:rFonts w:ascii="宋体" w:hAnsi="宋体" w:cs="MingLiU"/>
          <w:kern w:val="0"/>
          <w:szCs w:val="21"/>
        </w:rPr>
      </w:pPr>
      <w:r>
        <w:rPr>
          <w:rFonts w:hint="eastAsia" w:ascii="宋体" w:hAnsi="宋体" w:cs="MingLiU"/>
          <w:kern w:val="0"/>
          <w:szCs w:val="21"/>
        </w:rPr>
        <w:t>1. 总则</w:t>
      </w:r>
    </w:p>
    <w:p>
      <w:pPr>
        <w:rPr>
          <w:rFonts w:ascii="宋体" w:hAnsi="宋体" w:cs="MingLiU"/>
          <w:kern w:val="0"/>
          <w:szCs w:val="21"/>
        </w:rPr>
      </w:pPr>
      <w:r>
        <w:rPr>
          <w:rFonts w:hint="eastAsia" w:ascii="宋体" w:hAnsi="宋体" w:cs="MingLiU"/>
          <w:kern w:val="0"/>
          <w:szCs w:val="21"/>
        </w:rPr>
        <w:t>2. 招标文件</w:t>
      </w:r>
    </w:p>
    <w:p>
      <w:pPr>
        <w:rPr>
          <w:rFonts w:ascii="宋体" w:hAnsi="宋体" w:cs="MingLiU"/>
          <w:kern w:val="0"/>
          <w:szCs w:val="21"/>
        </w:rPr>
      </w:pPr>
      <w:r>
        <w:rPr>
          <w:rFonts w:hint="eastAsia" w:ascii="宋体" w:hAnsi="宋体" w:cs="MingLiU"/>
          <w:kern w:val="0"/>
          <w:szCs w:val="21"/>
        </w:rPr>
        <w:t>3. 投标文件</w:t>
      </w:r>
    </w:p>
    <w:p>
      <w:pPr>
        <w:rPr>
          <w:rFonts w:ascii="宋体" w:hAnsi="宋体" w:cs="MingLiU"/>
          <w:kern w:val="0"/>
          <w:szCs w:val="21"/>
        </w:rPr>
      </w:pPr>
      <w:r>
        <w:rPr>
          <w:rFonts w:hint="eastAsia" w:ascii="宋体" w:hAnsi="宋体" w:cs="MingLiU"/>
          <w:kern w:val="0"/>
          <w:szCs w:val="21"/>
        </w:rPr>
        <w:t>4. 投标</w:t>
      </w:r>
    </w:p>
    <w:p>
      <w:pPr>
        <w:rPr>
          <w:rFonts w:ascii="宋体" w:hAnsi="宋体" w:cs="MingLiU"/>
          <w:kern w:val="0"/>
          <w:szCs w:val="21"/>
        </w:rPr>
      </w:pPr>
      <w:r>
        <w:rPr>
          <w:rFonts w:hint="eastAsia" w:ascii="宋体" w:hAnsi="宋体" w:cs="MingLiU"/>
          <w:kern w:val="0"/>
          <w:szCs w:val="21"/>
        </w:rPr>
        <w:t>5. 开标</w:t>
      </w:r>
    </w:p>
    <w:p>
      <w:pPr>
        <w:rPr>
          <w:rFonts w:ascii="宋体" w:hAnsi="宋体" w:cs="MingLiU"/>
          <w:kern w:val="0"/>
          <w:szCs w:val="21"/>
        </w:rPr>
      </w:pPr>
      <w:r>
        <w:rPr>
          <w:rFonts w:hint="eastAsia" w:ascii="宋体" w:hAnsi="宋体" w:cs="MingLiU"/>
          <w:kern w:val="0"/>
          <w:szCs w:val="21"/>
        </w:rPr>
        <w:t>6. 评标</w:t>
      </w:r>
    </w:p>
    <w:p>
      <w:pPr>
        <w:rPr>
          <w:rFonts w:ascii="宋体" w:hAnsi="宋体" w:cs="MingLiU"/>
          <w:kern w:val="0"/>
          <w:szCs w:val="21"/>
        </w:rPr>
      </w:pPr>
      <w:r>
        <w:rPr>
          <w:rFonts w:hint="eastAsia" w:ascii="宋体" w:hAnsi="宋体" w:cs="MingLiU"/>
          <w:kern w:val="0"/>
          <w:szCs w:val="21"/>
        </w:rPr>
        <w:t>7. 合同授予</w:t>
      </w:r>
    </w:p>
    <w:p>
      <w:pPr>
        <w:rPr>
          <w:rFonts w:ascii="宋体" w:hAnsi="宋体" w:cs="MingLiU"/>
          <w:kern w:val="0"/>
          <w:szCs w:val="21"/>
        </w:rPr>
      </w:pPr>
      <w:r>
        <w:rPr>
          <w:rFonts w:hint="eastAsia" w:ascii="宋体" w:hAnsi="宋体" w:cs="MingLiU"/>
          <w:kern w:val="0"/>
          <w:szCs w:val="21"/>
        </w:rPr>
        <w:t>8. 重新招标和不再招标</w:t>
      </w:r>
    </w:p>
    <w:p>
      <w:pPr>
        <w:rPr>
          <w:rFonts w:ascii="宋体" w:hAnsi="宋体" w:cs="MingLiU"/>
          <w:kern w:val="0"/>
          <w:szCs w:val="21"/>
        </w:rPr>
      </w:pPr>
      <w:r>
        <w:rPr>
          <w:rFonts w:hint="eastAsia" w:ascii="宋体" w:hAnsi="宋体" w:cs="MingLiU"/>
          <w:kern w:val="0"/>
          <w:szCs w:val="21"/>
        </w:rPr>
        <w:t>9. 纪律和监督</w:t>
      </w:r>
    </w:p>
    <w:p>
      <w:pPr>
        <w:rPr>
          <w:rFonts w:ascii="宋体" w:hAnsi="宋体" w:cs="MingLiU"/>
          <w:kern w:val="0"/>
          <w:szCs w:val="21"/>
        </w:rPr>
      </w:pPr>
      <w:r>
        <w:rPr>
          <w:rFonts w:hint="eastAsia" w:ascii="宋体" w:hAnsi="宋体" w:cs="MingLiU"/>
          <w:kern w:val="0"/>
          <w:szCs w:val="21"/>
        </w:rPr>
        <w:t>10. 需要补充的其他内容</w:t>
      </w:r>
    </w:p>
    <w:p>
      <w:pPr>
        <w:rPr>
          <w:rFonts w:ascii="宋体" w:hAnsi="宋体" w:cs="MingLiU"/>
          <w:kern w:val="0"/>
          <w:szCs w:val="21"/>
        </w:rPr>
      </w:pPr>
    </w:p>
    <w:p>
      <w:pPr>
        <w:rPr>
          <w:rFonts w:ascii="宋体" w:hAnsi="宋体" w:cs="MingLiU"/>
          <w:kern w:val="0"/>
          <w:szCs w:val="21"/>
        </w:rPr>
      </w:pPr>
      <w:r>
        <w:rPr>
          <w:rFonts w:hint="eastAsia" w:ascii="宋体" w:hAnsi="宋体" w:cs="MingLiU"/>
          <w:kern w:val="0"/>
          <w:szCs w:val="21"/>
        </w:rPr>
        <w:t>第三章 评标办法</w:t>
      </w:r>
    </w:p>
    <w:p>
      <w:pPr>
        <w:rPr>
          <w:rFonts w:ascii="宋体" w:hAnsi="宋体" w:cs="MingLiU"/>
          <w:kern w:val="0"/>
          <w:szCs w:val="21"/>
        </w:rPr>
      </w:pPr>
      <w:r>
        <w:rPr>
          <w:rFonts w:hint="eastAsia" w:ascii="宋体" w:hAnsi="宋体" w:cs="MingLiU"/>
          <w:kern w:val="0"/>
          <w:szCs w:val="21"/>
        </w:rPr>
        <w:t>评标办法前附表</w:t>
      </w:r>
    </w:p>
    <w:p>
      <w:pPr>
        <w:rPr>
          <w:rFonts w:ascii="宋体" w:hAnsi="宋体" w:cs="MingLiU"/>
          <w:kern w:val="0"/>
          <w:szCs w:val="21"/>
        </w:rPr>
      </w:pPr>
      <w:r>
        <w:rPr>
          <w:rFonts w:hint="eastAsia" w:ascii="宋体" w:hAnsi="宋体" w:cs="MingLiU"/>
          <w:kern w:val="0"/>
          <w:szCs w:val="21"/>
        </w:rPr>
        <w:t>1. 评标方法</w:t>
      </w:r>
    </w:p>
    <w:p>
      <w:pPr>
        <w:rPr>
          <w:rFonts w:ascii="宋体" w:hAnsi="宋体" w:cs="MingLiU"/>
          <w:kern w:val="0"/>
          <w:szCs w:val="21"/>
        </w:rPr>
      </w:pPr>
      <w:r>
        <w:rPr>
          <w:rFonts w:hint="eastAsia" w:ascii="宋体" w:hAnsi="宋体" w:cs="MingLiU"/>
          <w:kern w:val="0"/>
          <w:szCs w:val="21"/>
        </w:rPr>
        <w:t>2. 评审标准</w:t>
      </w:r>
    </w:p>
    <w:p>
      <w:pPr>
        <w:rPr>
          <w:rFonts w:ascii="宋体" w:hAnsi="宋体" w:cs="MingLiU"/>
          <w:kern w:val="0"/>
          <w:szCs w:val="21"/>
        </w:rPr>
      </w:pPr>
      <w:r>
        <w:rPr>
          <w:rFonts w:hint="eastAsia" w:ascii="宋体" w:hAnsi="宋体" w:cs="MingLiU"/>
          <w:kern w:val="0"/>
          <w:szCs w:val="21"/>
        </w:rPr>
        <w:t>3. 评标程序</w:t>
      </w:r>
    </w:p>
    <w:p>
      <w:pPr>
        <w:rPr>
          <w:rFonts w:ascii="宋体" w:hAnsi="宋体" w:cs="MingLiU"/>
          <w:kern w:val="0"/>
          <w:szCs w:val="21"/>
        </w:rPr>
      </w:pPr>
    </w:p>
    <w:p>
      <w:pPr>
        <w:rPr>
          <w:rFonts w:ascii="宋体" w:hAnsi="宋体" w:cs="MingLiU"/>
          <w:kern w:val="0"/>
          <w:szCs w:val="21"/>
        </w:rPr>
      </w:pPr>
      <w:r>
        <w:rPr>
          <w:rFonts w:hint="eastAsia" w:ascii="宋体" w:hAnsi="宋体" w:cs="MingLiU"/>
          <w:kern w:val="0"/>
          <w:szCs w:val="21"/>
        </w:rPr>
        <w:t>第四章 合同条件及格式</w:t>
      </w:r>
    </w:p>
    <w:p/>
    <w:p>
      <w:pPr>
        <w:rPr>
          <w:rFonts w:ascii="宋体" w:hAnsi="宋体" w:cs="MingLiU"/>
          <w:kern w:val="0"/>
          <w:szCs w:val="21"/>
        </w:rPr>
      </w:pPr>
      <w:r>
        <w:rPr>
          <w:rFonts w:hint="eastAsia" w:ascii="宋体" w:hAnsi="宋体" w:cs="MingLiU"/>
          <w:kern w:val="0"/>
          <w:szCs w:val="21"/>
        </w:rPr>
        <w:t>第五章 招标内容</w:t>
      </w:r>
    </w:p>
    <w:p>
      <w:pPr>
        <w:rPr>
          <w:rFonts w:ascii="宋体" w:hAnsi="宋体" w:cs="MingLiU"/>
          <w:kern w:val="0"/>
          <w:szCs w:val="21"/>
        </w:rPr>
      </w:pPr>
    </w:p>
    <w:p>
      <w:pPr>
        <w:rPr>
          <w:rStyle w:val="38"/>
          <w:rFonts w:ascii="宋体" w:hAnsi="宋体"/>
          <w:color w:val="auto"/>
          <w:u w:val="none"/>
        </w:rPr>
      </w:pPr>
      <w:r>
        <w:rPr>
          <w:rFonts w:hint="eastAsia" w:ascii="宋体" w:hAnsi="宋体" w:cs="MingLiU"/>
          <w:kern w:val="0"/>
          <w:szCs w:val="21"/>
        </w:rPr>
        <w:t>第六章 投标文件格式</w:t>
      </w:r>
      <w:r>
        <w:rPr>
          <w:rFonts w:ascii="宋体" w:hAnsi="宋体"/>
        </w:rPr>
        <w:fldChar w:fldCharType="begin"/>
      </w:r>
      <w:r>
        <w:rPr>
          <w:rFonts w:ascii="宋体" w:hAnsi="宋体"/>
        </w:rPr>
        <w:instrText xml:space="preserve"> </w:instrText>
      </w:r>
      <w:r>
        <w:rPr>
          <w:rFonts w:hint="eastAsia" w:ascii="宋体" w:hAnsi="宋体"/>
        </w:rPr>
        <w:instrText xml:space="preserve">TOC \o "1-3" \h \z \u</w:instrText>
      </w:r>
      <w:r>
        <w:rPr>
          <w:rFonts w:ascii="宋体" w:hAnsi="宋体"/>
        </w:rPr>
        <w:instrText xml:space="preserve"> </w:instrText>
      </w:r>
      <w:r>
        <w:rPr>
          <w:rFonts w:ascii="宋体" w:hAnsi="宋体"/>
        </w:rPr>
        <w:fldChar w:fldCharType="separate"/>
      </w:r>
    </w:p>
    <w:p>
      <w:pPr>
        <w:spacing w:line="500" w:lineRule="exact"/>
        <w:jc w:val="center"/>
        <w:rPr>
          <w:rFonts w:ascii="Calibri" w:hAnsi="Calibri"/>
        </w:rPr>
      </w:pPr>
      <w:r>
        <w:rPr>
          <w:rFonts w:ascii="宋体" w:hAnsi="宋体"/>
        </w:rPr>
        <w:fldChar w:fldCharType="end"/>
      </w:r>
      <w:bookmarkStart w:id="2" w:name="_Toc361338233"/>
      <w:bookmarkStart w:id="3" w:name="_Toc152045526"/>
      <w:bookmarkStart w:id="4" w:name="_Toc184635068"/>
      <w:bookmarkStart w:id="5" w:name="_Toc152042302"/>
      <w:bookmarkStart w:id="6" w:name="_Toc179632543"/>
      <w:bookmarkStart w:id="7" w:name="_Toc144974494"/>
      <w:r>
        <w:rPr>
          <w:rFonts w:ascii="宋体" w:hAnsi="宋体"/>
        </w:rPr>
        <w:br w:type="page"/>
      </w:r>
      <w:bookmarkStart w:id="8" w:name="_Toc305781302"/>
      <w:bookmarkStart w:id="9" w:name="_Toc343091191"/>
      <w:bookmarkStart w:id="10" w:name="_Toc276608388"/>
      <w:r>
        <w:rPr>
          <w:rFonts w:ascii="黑体" w:eastAsia="黑体"/>
          <w:sz w:val="32"/>
          <w:szCs w:val="32"/>
        </w:rPr>
        <w:t>第一章  招标公告</w:t>
      </w:r>
      <w:bookmarkEnd w:id="8"/>
      <w:bookmarkEnd w:id="9"/>
      <w:bookmarkEnd w:id="10"/>
    </w:p>
    <w:p>
      <w:pPr>
        <w:tabs>
          <w:tab w:val="left" w:pos="2300"/>
        </w:tabs>
        <w:autoSpaceDE w:val="0"/>
        <w:autoSpaceDN w:val="0"/>
        <w:adjustRightInd w:val="0"/>
        <w:spacing w:line="360" w:lineRule="auto"/>
        <w:jc w:val="center"/>
        <w:rPr>
          <w:rFonts w:ascii="宋体" w:hAnsi="宋体" w:cs="MingLiU"/>
          <w:kern w:val="0"/>
          <w:szCs w:val="21"/>
        </w:rPr>
      </w:pPr>
      <w:r>
        <w:rPr>
          <w:rFonts w:hint="eastAsia" w:ascii="宋体" w:hAnsi="宋体" w:cs="MingLiU"/>
          <w:kern w:val="0"/>
          <w:szCs w:val="21"/>
          <w:u w:val="single"/>
        </w:rPr>
        <w:t>温州市中医院六虹桥院区综合楼病房玻璃门及门禁安装工程</w:t>
      </w:r>
      <w:r>
        <w:rPr>
          <w:rFonts w:ascii="宋体" w:hAnsi="宋体" w:cs="MingLiU"/>
          <w:kern w:val="0"/>
          <w:szCs w:val="21"/>
        </w:rPr>
        <w:t>招标公告</w:t>
      </w:r>
    </w:p>
    <w:p>
      <w:pPr>
        <w:spacing w:line="360" w:lineRule="exact"/>
        <w:rPr>
          <w:rFonts w:ascii="宋体" w:hAnsi="宋体"/>
          <w:b/>
          <w:kern w:val="0"/>
          <w:szCs w:val="21"/>
        </w:rPr>
      </w:pPr>
      <w:r>
        <w:rPr>
          <w:rFonts w:hint="eastAsia" w:ascii="宋体" w:hAnsi="宋体"/>
          <w:b/>
          <w:kern w:val="0"/>
          <w:szCs w:val="21"/>
        </w:rPr>
        <w:t>1、</w:t>
      </w:r>
      <w:r>
        <w:rPr>
          <w:rFonts w:ascii="宋体" w:hAnsi="宋体"/>
          <w:b/>
          <w:kern w:val="0"/>
          <w:szCs w:val="21"/>
        </w:rPr>
        <w:t>招标条件</w:t>
      </w:r>
    </w:p>
    <w:p>
      <w:pPr>
        <w:spacing w:line="360" w:lineRule="exact"/>
        <w:ind w:firstLine="420" w:firstLineChars="200"/>
        <w:rPr>
          <w:rFonts w:ascii="宋体" w:hAnsi="宋体" w:cs="MingLiU"/>
          <w:kern w:val="0"/>
          <w:szCs w:val="21"/>
        </w:rPr>
      </w:pPr>
      <w:r>
        <w:rPr>
          <w:rFonts w:ascii="宋体" w:hAnsi="宋体"/>
          <w:szCs w:val="21"/>
        </w:rPr>
        <w:t>本招标项目</w:t>
      </w:r>
      <w:r>
        <w:rPr>
          <w:rFonts w:hint="eastAsia" w:ascii="宋体" w:hAnsi="宋体" w:cs="MingLiU"/>
          <w:kern w:val="0"/>
          <w:szCs w:val="21"/>
          <w:u w:val="single"/>
        </w:rPr>
        <w:t>温州市中医院六虹桥院区综合楼病房玻璃门及门禁安装工程</w:t>
      </w:r>
      <w:r>
        <w:rPr>
          <w:rFonts w:ascii="宋体" w:hAnsi="宋体"/>
          <w:szCs w:val="21"/>
        </w:rPr>
        <w:t>已具备招标条件，招标人为</w:t>
      </w:r>
      <w:r>
        <w:rPr>
          <w:rFonts w:hint="eastAsia" w:ascii="宋体" w:hAnsi="宋体"/>
          <w:szCs w:val="21"/>
          <w:u w:val="single"/>
        </w:rPr>
        <w:t>温州市中医院</w:t>
      </w:r>
      <w:r>
        <w:rPr>
          <w:rFonts w:ascii="宋体" w:hAnsi="宋体"/>
          <w:szCs w:val="21"/>
        </w:rPr>
        <w:t>，资金来自</w:t>
      </w:r>
      <w:r>
        <w:rPr>
          <w:rFonts w:hint="eastAsia" w:ascii="宋体" w:hAnsi="宋体"/>
          <w:szCs w:val="21"/>
        </w:rPr>
        <w:t>自筹</w:t>
      </w:r>
      <w:r>
        <w:rPr>
          <w:rFonts w:ascii="宋体" w:hAnsi="宋体"/>
          <w:szCs w:val="21"/>
        </w:rPr>
        <w:t>。现对该项目进行公开招标。</w:t>
      </w:r>
    </w:p>
    <w:p>
      <w:pPr>
        <w:spacing w:line="360" w:lineRule="exact"/>
        <w:rPr>
          <w:rFonts w:ascii="宋体" w:hAnsi="宋体" w:cs="MingLiU"/>
          <w:b/>
          <w:kern w:val="0"/>
          <w:szCs w:val="21"/>
        </w:rPr>
      </w:pPr>
      <w:r>
        <w:rPr>
          <w:rFonts w:ascii="宋体" w:hAnsi="宋体"/>
          <w:b/>
          <w:kern w:val="0"/>
          <w:szCs w:val="21"/>
        </w:rPr>
        <w:t>2.</w:t>
      </w:r>
      <w:r>
        <w:rPr>
          <w:rFonts w:hint="eastAsia" w:ascii="宋体" w:hAnsi="宋体"/>
          <w:b/>
          <w:kern w:val="0"/>
          <w:szCs w:val="21"/>
        </w:rPr>
        <w:t xml:space="preserve"> </w:t>
      </w:r>
      <w:r>
        <w:rPr>
          <w:rFonts w:ascii="宋体" w:hAnsi="宋体"/>
          <w:b/>
          <w:kern w:val="0"/>
          <w:szCs w:val="21"/>
        </w:rPr>
        <w:t>项目概况与招标范围</w:t>
      </w:r>
    </w:p>
    <w:p>
      <w:pPr>
        <w:spacing w:line="360" w:lineRule="exact"/>
        <w:ind w:firstLine="420" w:firstLineChars="200"/>
        <w:rPr>
          <w:rFonts w:ascii="宋体" w:hAnsi="宋体" w:cs="MingLiU"/>
          <w:kern w:val="0"/>
          <w:szCs w:val="21"/>
        </w:rPr>
      </w:pPr>
      <w:r>
        <w:rPr>
          <w:rFonts w:hint="eastAsia" w:ascii="宋体" w:hAnsi="宋体" w:cs="MingLiU"/>
          <w:kern w:val="0"/>
          <w:szCs w:val="21"/>
        </w:rPr>
        <w:t>2</w:t>
      </w:r>
      <w:r>
        <w:rPr>
          <w:rFonts w:ascii="宋体" w:hAnsi="宋体" w:cs="MingLiU"/>
          <w:kern w:val="0"/>
          <w:szCs w:val="21"/>
        </w:rPr>
        <w:t>.1</w:t>
      </w:r>
      <w:r>
        <w:rPr>
          <w:rFonts w:hint="eastAsia" w:ascii="宋体" w:hAnsi="宋体" w:cs="MingLiU"/>
          <w:kern w:val="0"/>
          <w:szCs w:val="21"/>
        </w:rPr>
        <w:t xml:space="preserve"> 本招标项目的建设地点：温州市中医院六虹桥院区。</w:t>
      </w:r>
    </w:p>
    <w:p>
      <w:pPr>
        <w:spacing w:line="360" w:lineRule="exact"/>
        <w:ind w:firstLine="420" w:firstLineChars="200"/>
        <w:rPr>
          <w:rFonts w:ascii="宋体" w:hAnsi="宋体" w:cs="MingLiU"/>
          <w:kern w:val="0"/>
          <w:szCs w:val="21"/>
        </w:rPr>
      </w:pPr>
      <w:r>
        <w:rPr>
          <w:rFonts w:hint="eastAsia" w:ascii="宋体" w:hAnsi="宋体" w:cs="MingLiU"/>
          <w:kern w:val="0"/>
          <w:szCs w:val="21"/>
        </w:rPr>
        <w:t>2</w:t>
      </w:r>
      <w:r>
        <w:rPr>
          <w:rFonts w:ascii="宋体" w:hAnsi="宋体" w:cs="MingLiU"/>
          <w:kern w:val="0"/>
          <w:szCs w:val="21"/>
        </w:rPr>
        <w:t>.</w:t>
      </w:r>
      <w:r>
        <w:rPr>
          <w:rFonts w:hint="eastAsia" w:ascii="宋体" w:hAnsi="宋体" w:cs="MingLiU"/>
          <w:kern w:val="0"/>
          <w:szCs w:val="21"/>
        </w:rPr>
        <w:t>2 工程规模：投资金额：约16万元。</w:t>
      </w:r>
    </w:p>
    <w:p>
      <w:pPr>
        <w:spacing w:line="360" w:lineRule="exact"/>
        <w:ind w:firstLine="420" w:firstLineChars="200"/>
        <w:rPr>
          <w:rFonts w:ascii="宋体" w:hAnsi="宋体" w:cs="MingLiU"/>
          <w:kern w:val="0"/>
          <w:szCs w:val="21"/>
        </w:rPr>
      </w:pPr>
      <w:r>
        <w:rPr>
          <w:rFonts w:hint="eastAsia" w:ascii="宋体" w:hAnsi="宋体" w:cs="MingLiU"/>
          <w:kern w:val="0"/>
          <w:szCs w:val="21"/>
        </w:rPr>
        <w:t>2</w:t>
      </w:r>
      <w:r>
        <w:rPr>
          <w:rFonts w:ascii="宋体" w:hAnsi="宋体" w:cs="MingLiU"/>
          <w:kern w:val="0"/>
          <w:szCs w:val="21"/>
        </w:rPr>
        <w:t>.</w:t>
      </w:r>
      <w:r>
        <w:rPr>
          <w:rFonts w:hint="eastAsia" w:ascii="宋体" w:hAnsi="宋体" w:cs="MingLiU"/>
          <w:kern w:val="0"/>
          <w:szCs w:val="21"/>
        </w:rPr>
        <w:t>3 计划工期：30日历天。</w:t>
      </w:r>
    </w:p>
    <w:p>
      <w:pPr>
        <w:spacing w:line="360" w:lineRule="exact"/>
        <w:ind w:firstLine="420" w:firstLineChars="200"/>
        <w:rPr>
          <w:rFonts w:ascii="宋体" w:hAnsi="宋体" w:cs="MingLiU"/>
          <w:kern w:val="0"/>
          <w:szCs w:val="21"/>
        </w:rPr>
      </w:pPr>
      <w:r>
        <w:rPr>
          <w:rFonts w:hint="eastAsia" w:ascii="宋体" w:hAnsi="宋体" w:cs="MingLiU"/>
          <w:kern w:val="0"/>
          <w:szCs w:val="21"/>
        </w:rPr>
        <w:t>2</w:t>
      </w:r>
      <w:r>
        <w:rPr>
          <w:rFonts w:ascii="宋体" w:hAnsi="宋体" w:cs="MingLiU"/>
          <w:kern w:val="0"/>
          <w:szCs w:val="21"/>
        </w:rPr>
        <w:t>.</w:t>
      </w:r>
      <w:r>
        <w:rPr>
          <w:rFonts w:hint="eastAsia" w:ascii="宋体" w:hAnsi="宋体" w:cs="MingLiU"/>
          <w:kern w:val="0"/>
          <w:szCs w:val="21"/>
        </w:rPr>
        <w:t>4 招标范围：</w:t>
      </w:r>
      <w:r>
        <w:rPr>
          <w:rFonts w:ascii="宋体" w:hAnsi="宋体"/>
          <w:szCs w:val="21"/>
        </w:rPr>
        <w:t>包括</w:t>
      </w:r>
      <w:r>
        <w:rPr>
          <w:rFonts w:hint="eastAsia" w:ascii="宋体" w:hAnsi="宋体"/>
          <w:szCs w:val="21"/>
        </w:rPr>
        <w:t>玻璃门及门禁</w:t>
      </w:r>
      <w:r>
        <w:rPr>
          <w:rFonts w:hint="eastAsia" w:ascii="Arial" w:hAnsi="Arial" w:cs="Arial"/>
          <w:color w:val="000000"/>
          <w:szCs w:val="21"/>
        </w:rPr>
        <w:t>的制作、供货、安装、验收及售后服务</w:t>
      </w:r>
      <w:r>
        <w:rPr>
          <w:rFonts w:hint="eastAsia" w:hAnsi="宋体"/>
          <w:szCs w:val="21"/>
        </w:rPr>
        <w:t>。</w:t>
      </w:r>
    </w:p>
    <w:p>
      <w:pPr>
        <w:spacing w:line="360" w:lineRule="exact"/>
        <w:rPr>
          <w:rFonts w:ascii="宋体" w:hAnsi="宋体"/>
          <w:b/>
          <w:kern w:val="0"/>
          <w:szCs w:val="21"/>
        </w:rPr>
      </w:pPr>
      <w:r>
        <w:rPr>
          <w:rFonts w:ascii="宋体" w:hAnsi="宋体"/>
          <w:b/>
          <w:kern w:val="0"/>
          <w:szCs w:val="21"/>
        </w:rPr>
        <w:t>3.</w:t>
      </w:r>
      <w:r>
        <w:rPr>
          <w:rFonts w:hint="eastAsia" w:ascii="宋体" w:hAnsi="宋体"/>
          <w:b/>
          <w:kern w:val="0"/>
          <w:szCs w:val="21"/>
        </w:rPr>
        <w:t xml:space="preserve"> </w:t>
      </w:r>
      <w:r>
        <w:rPr>
          <w:rFonts w:ascii="宋体" w:hAnsi="宋体"/>
          <w:b/>
          <w:kern w:val="0"/>
          <w:szCs w:val="21"/>
        </w:rPr>
        <w:t>投标人资格要求</w:t>
      </w:r>
    </w:p>
    <w:p>
      <w:pPr>
        <w:spacing w:line="360" w:lineRule="exact"/>
        <w:ind w:firstLine="420" w:firstLineChars="200"/>
        <w:rPr>
          <w:rFonts w:ascii="宋体" w:hAnsi="宋体" w:cs="MingLiU"/>
          <w:kern w:val="0"/>
          <w:szCs w:val="21"/>
          <w:u w:val="single"/>
        </w:rPr>
      </w:pPr>
      <w:r>
        <w:rPr>
          <w:rFonts w:ascii="宋体" w:hAnsi="宋体" w:cs="MingLiU"/>
          <w:kern w:val="0"/>
          <w:szCs w:val="21"/>
        </w:rPr>
        <w:t>3.1</w:t>
      </w:r>
      <w:r>
        <w:rPr>
          <w:rFonts w:hint="eastAsia" w:ascii="宋体" w:hAnsi="宋体" w:cs="MingLiU"/>
          <w:kern w:val="0"/>
          <w:szCs w:val="21"/>
        </w:rPr>
        <w:t xml:space="preserve"> </w:t>
      </w:r>
      <w:r>
        <w:rPr>
          <w:rFonts w:ascii="宋体" w:hAnsi="宋体" w:cs="MingLiU"/>
          <w:kern w:val="0"/>
          <w:szCs w:val="21"/>
        </w:rPr>
        <w:t>本</w:t>
      </w:r>
      <w:r>
        <w:rPr>
          <w:rFonts w:hint="eastAsia" w:ascii="宋体" w:hAnsi="宋体" w:cs="MingLiU"/>
          <w:kern w:val="0"/>
          <w:szCs w:val="21"/>
        </w:rPr>
        <w:t>次招标</w:t>
      </w:r>
      <w:r>
        <w:rPr>
          <w:rFonts w:ascii="宋体" w:hAnsi="宋体" w:cs="MingLiU"/>
          <w:kern w:val="0"/>
          <w:szCs w:val="21"/>
        </w:rPr>
        <w:t>要求投标人须具备</w:t>
      </w:r>
      <w:r>
        <w:rPr>
          <w:rFonts w:hint="eastAsia" w:ascii="宋体" w:hAnsi="宋体"/>
          <w:szCs w:val="21"/>
          <w:u w:val="single"/>
        </w:rPr>
        <w:t>有效的营业执照</w:t>
      </w:r>
      <w:r>
        <w:rPr>
          <w:rFonts w:ascii="宋体" w:hAnsi="宋体"/>
          <w:szCs w:val="21"/>
          <w:u w:val="single"/>
        </w:rPr>
        <w:t>。</w:t>
      </w:r>
    </w:p>
    <w:p>
      <w:pPr>
        <w:spacing w:line="360" w:lineRule="exact"/>
        <w:ind w:firstLine="420" w:firstLineChars="200"/>
        <w:rPr>
          <w:rFonts w:ascii="宋体" w:hAnsi="宋体" w:cs="MingLiU"/>
          <w:kern w:val="0"/>
          <w:szCs w:val="21"/>
        </w:rPr>
      </w:pPr>
      <w:r>
        <w:rPr>
          <w:rFonts w:ascii="宋体" w:hAnsi="宋体" w:cs="MingLiU"/>
          <w:kern w:val="0"/>
          <w:szCs w:val="21"/>
        </w:rPr>
        <w:t>3.</w:t>
      </w:r>
      <w:r>
        <w:rPr>
          <w:rFonts w:hint="eastAsia" w:ascii="宋体" w:hAnsi="宋体" w:cs="MingLiU"/>
          <w:kern w:val="0"/>
          <w:szCs w:val="21"/>
        </w:rPr>
        <w:t xml:space="preserve">2 </w:t>
      </w:r>
      <w:r>
        <w:rPr>
          <w:rFonts w:ascii="宋体" w:hAnsi="宋体" w:cs="MingLiU"/>
          <w:kern w:val="0"/>
          <w:szCs w:val="21"/>
        </w:rPr>
        <w:t>本</w:t>
      </w:r>
      <w:r>
        <w:rPr>
          <w:rFonts w:hint="eastAsia" w:ascii="宋体" w:hAnsi="宋体" w:cs="MingLiU"/>
          <w:kern w:val="0"/>
          <w:szCs w:val="21"/>
        </w:rPr>
        <w:t>次招标</w:t>
      </w:r>
      <w:r>
        <w:rPr>
          <w:rFonts w:ascii="宋体" w:hAnsi="宋体" w:cs="MingLiU"/>
          <w:kern w:val="0"/>
          <w:szCs w:val="21"/>
          <w:u w:val="single"/>
        </w:rPr>
        <w:t>不接受</w:t>
      </w:r>
      <w:r>
        <w:rPr>
          <w:rFonts w:ascii="宋体" w:hAnsi="宋体" w:cs="MingLiU"/>
          <w:kern w:val="0"/>
          <w:szCs w:val="21"/>
        </w:rPr>
        <w:t>联合体投标。</w:t>
      </w:r>
    </w:p>
    <w:p>
      <w:pPr>
        <w:snapToGrid w:val="0"/>
        <w:spacing w:line="360" w:lineRule="exact"/>
        <w:rPr>
          <w:rFonts w:ascii="宋体" w:hAnsi="宋体" w:cs="Arial"/>
          <w:b/>
          <w:szCs w:val="21"/>
        </w:rPr>
      </w:pPr>
      <w:r>
        <w:rPr>
          <w:rFonts w:hint="eastAsia" w:ascii="宋体" w:hAnsi="宋体" w:cs="Arial"/>
          <w:b/>
          <w:szCs w:val="21"/>
        </w:rPr>
        <w:t>4、</w:t>
      </w:r>
      <w:r>
        <w:rPr>
          <w:rFonts w:ascii="宋体" w:hAnsi="宋体" w:cs="Arial"/>
          <w:b/>
          <w:szCs w:val="21"/>
        </w:rPr>
        <w:t>招标文件的获取</w:t>
      </w:r>
    </w:p>
    <w:p>
      <w:pPr>
        <w:spacing w:line="360" w:lineRule="exact"/>
        <w:ind w:firstLine="359" w:firstLineChars="171"/>
        <w:rPr>
          <w:rFonts w:ascii="宋体" w:hAnsi="宋体"/>
          <w:szCs w:val="21"/>
        </w:rPr>
      </w:pPr>
      <w:r>
        <w:rPr>
          <w:rFonts w:hint="eastAsia" w:ascii="宋体" w:hAnsi="宋体" w:cs="Arial"/>
          <w:szCs w:val="21"/>
        </w:rPr>
        <w:t>4.1凡有意参加投标者，请于</w:t>
      </w:r>
      <w:r>
        <w:rPr>
          <w:rFonts w:hint="eastAsia" w:ascii="宋体" w:hAnsi="宋体" w:cs="Arial"/>
          <w:szCs w:val="21"/>
          <w:highlight w:val="yellow"/>
        </w:rPr>
        <w:t>公告发布之日至2019年6月12日</w:t>
      </w:r>
      <w:r>
        <w:rPr>
          <w:szCs w:val="21"/>
        </w:rPr>
        <w:t>上午</w:t>
      </w:r>
      <w:r>
        <w:rPr>
          <w:rFonts w:hint="eastAsia"/>
          <w:szCs w:val="21"/>
          <w:u w:val="single"/>
        </w:rPr>
        <w:t>9:00</w:t>
      </w:r>
      <w:r>
        <w:rPr>
          <w:szCs w:val="21"/>
        </w:rPr>
        <w:t>时至</w:t>
      </w:r>
      <w:r>
        <w:rPr>
          <w:rFonts w:hint="eastAsia"/>
          <w:szCs w:val="21"/>
          <w:u w:val="single"/>
        </w:rPr>
        <w:t>11:30</w:t>
      </w:r>
      <w:r>
        <w:rPr>
          <w:szCs w:val="21"/>
        </w:rPr>
        <w:t>时，下午</w:t>
      </w:r>
      <w:r>
        <w:rPr>
          <w:rFonts w:hint="eastAsia"/>
          <w:szCs w:val="21"/>
          <w:u w:val="single"/>
        </w:rPr>
        <w:t>14:30</w:t>
      </w:r>
      <w:r>
        <w:rPr>
          <w:szCs w:val="21"/>
        </w:rPr>
        <w:t>时至</w:t>
      </w:r>
      <w:r>
        <w:rPr>
          <w:rFonts w:hint="eastAsia"/>
          <w:szCs w:val="21"/>
          <w:u w:val="single"/>
        </w:rPr>
        <w:t>17:00</w:t>
      </w:r>
      <w:r>
        <w:rPr>
          <w:szCs w:val="21"/>
        </w:rPr>
        <w:t>时（北京时间，下同）</w:t>
      </w:r>
      <w:r>
        <w:rPr>
          <w:rFonts w:hint="eastAsia" w:ascii="宋体" w:hAnsi="宋体" w:cs="Arial"/>
          <w:szCs w:val="21"/>
        </w:rPr>
        <w:t>，</w:t>
      </w:r>
      <w:r>
        <w:rPr>
          <w:rFonts w:hint="eastAsia" w:ascii="宋体" w:hAnsi="宋体"/>
          <w:szCs w:val="21"/>
        </w:rPr>
        <w:t>持</w:t>
      </w:r>
      <w:r>
        <w:rPr>
          <w:rFonts w:hint="eastAsia" w:ascii="宋体" w:hAnsi="宋体"/>
          <w:szCs w:val="21"/>
          <w:u w:val="single"/>
        </w:rPr>
        <w:t>介绍信或委托书</w:t>
      </w:r>
      <w:r>
        <w:rPr>
          <w:rFonts w:hint="eastAsia" w:ascii="宋体" w:hAnsi="宋体"/>
          <w:szCs w:val="21"/>
        </w:rPr>
        <w:t>在</w:t>
      </w:r>
      <w:r>
        <w:rPr>
          <w:rFonts w:hint="eastAsia" w:ascii="宋体" w:hAnsi="宋体"/>
          <w:szCs w:val="21"/>
          <w:u w:val="single"/>
        </w:rPr>
        <w:t>温州经济技术开发区清江路110号403室（温州正大工程项目管理有限公司）</w:t>
      </w:r>
      <w:r>
        <w:rPr>
          <w:rFonts w:hint="eastAsia" w:ascii="宋体" w:hAnsi="宋体"/>
          <w:szCs w:val="21"/>
        </w:rPr>
        <w:t>购领招标文件；（</w:t>
      </w:r>
      <w:r>
        <w:rPr>
          <w:rFonts w:hint="eastAsia" w:ascii="宋体" w:hAnsi="宋体" w:cs="Arial"/>
          <w:szCs w:val="21"/>
        </w:rPr>
        <w:t>以上资料均需盖单位公章</w:t>
      </w:r>
      <w:r>
        <w:rPr>
          <w:rFonts w:hint="eastAsia" w:ascii="宋体" w:hAnsi="宋体"/>
          <w:szCs w:val="21"/>
        </w:rPr>
        <w:t>）</w:t>
      </w:r>
    </w:p>
    <w:p>
      <w:pPr>
        <w:spacing w:line="360" w:lineRule="exact"/>
        <w:ind w:firstLine="359" w:firstLineChars="171"/>
        <w:rPr>
          <w:rFonts w:ascii="宋体" w:hAnsi="宋体" w:cs="Arial"/>
          <w:szCs w:val="21"/>
        </w:rPr>
      </w:pPr>
      <w:r>
        <w:rPr>
          <w:rFonts w:hint="eastAsia" w:ascii="宋体" w:hAnsi="宋体"/>
          <w:szCs w:val="21"/>
        </w:rPr>
        <w:t>4.2</w:t>
      </w:r>
      <w:r>
        <w:rPr>
          <w:szCs w:val="21"/>
        </w:rPr>
        <w:t>招标文件每套售价</w:t>
      </w:r>
      <w:r>
        <w:rPr>
          <w:rFonts w:hint="eastAsia"/>
          <w:szCs w:val="21"/>
          <w:u w:val="single"/>
        </w:rPr>
        <w:t>300</w:t>
      </w:r>
      <w:r>
        <w:rPr>
          <w:szCs w:val="21"/>
        </w:rPr>
        <w:t>元</w:t>
      </w:r>
      <w:r>
        <w:rPr>
          <w:rFonts w:hint="eastAsia"/>
          <w:szCs w:val="21"/>
        </w:rPr>
        <w:t>，</w:t>
      </w:r>
      <w:r>
        <w:rPr>
          <w:rFonts w:hint="eastAsia" w:ascii="宋体" w:hAnsi="宋体"/>
          <w:szCs w:val="21"/>
        </w:rPr>
        <w:t>招标文件售后不退。</w:t>
      </w:r>
    </w:p>
    <w:p>
      <w:pPr>
        <w:snapToGrid w:val="0"/>
        <w:spacing w:line="360" w:lineRule="exact"/>
        <w:rPr>
          <w:rFonts w:ascii="宋体" w:hAnsi="宋体" w:cs="Arial"/>
          <w:b/>
          <w:szCs w:val="21"/>
        </w:rPr>
      </w:pPr>
      <w:bookmarkStart w:id="11" w:name="_Toc152045516"/>
      <w:bookmarkStart w:id="12" w:name="_Toc144974484"/>
      <w:bookmarkStart w:id="13" w:name="_Toc179632532"/>
      <w:bookmarkStart w:id="14" w:name="_Toc152042292"/>
      <w:r>
        <w:rPr>
          <w:rFonts w:ascii="宋体" w:hAnsi="宋体" w:cs="Arial"/>
          <w:b/>
          <w:szCs w:val="21"/>
        </w:rPr>
        <w:t>5. 投标文件的递交</w:t>
      </w:r>
      <w:bookmarkEnd w:id="11"/>
      <w:bookmarkEnd w:id="12"/>
      <w:bookmarkEnd w:id="13"/>
      <w:bookmarkEnd w:id="14"/>
    </w:p>
    <w:p>
      <w:pPr>
        <w:autoSpaceDE w:val="0"/>
        <w:autoSpaceDN w:val="0"/>
        <w:spacing w:line="360" w:lineRule="exact"/>
        <w:ind w:firstLine="420" w:firstLineChars="200"/>
        <w:jc w:val="left"/>
        <w:rPr>
          <w:rFonts w:ascii="宋体" w:hAnsi="宋体" w:cs="Arial"/>
          <w:szCs w:val="21"/>
        </w:rPr>
      </w:pPr>
      <w:r>
        <w:rPr>
          <w:rFonts w:ascii="宋体" w:hAnsi="宋体" w:cs="Arial"/>
          <w:szCs w:val="21"/>
        </w:rPr>
        <w:t>5.1 投标文件递交的截止时间（投标截止时间，下同）</w:t>
      </w:r>
      <w:r>
        <w:rPr>
          <w:rFonts w:hint="eastAsia" w:ascii="宋体" w:hAnsi="宋体" w:cs="Arial"/>
          <w:szCs w:val="21"/>
        </w:rPr>
        <w:t>2019年6月17日14:30分</w:t>
      </w:r>
      <w:r>
        <w:rPr>
          <w:rFonts w:hint="eastAsia" w:ascii="宋体" w:hAnsi="宋体"/>
          <w:szCs w:val="21"/>
        </w:rPr>
        <w:t>，地点为</w:t>
      </w:r>
      <w:r>
        <w:rPr>
          <w:rFonts w:hint="eastAsia" w:ascii="宋体" w:cs="仿宋_GB2312"/>
          <w:kern w:val="0"/>
          <w:szCs w:val="21"/>
          <w:u w:val="single"/>
        </w:rPr>
        <w:t>温州市中医院六虹桥院区综合楼E506室</w:t>
      </w:r>
      <w:r>
        <w:rPr>
          <w:rFonts w:ascii="宋体" w:hAnsi="宋体" w:cs="Arial"/>
          <w:szCs w:val="21"/>
        </w:rPr>
        <w:t>。</w:t>
      </w:r>
    </w:p>
    <w:p>
      <w:pPr>
        <w:autoSpaceDE w:val="0"/>
        <w:autoSpaceDN w:val="0"/>
        <w:spacing w:line="360" w:lineRule="exact"/>
        <w:ind w:firstLine="420" w:firstLineChars="200"/>
        <w:jc w:val="left"/>
        <w:rPr>
          <w:rFonts w:ascii="宋体" w:hAnsi="宋体" w:cs="Arial"/>
          <w:szCs w:val="21"/>
        </w:rPr>
      </w:pPr>
      <w:r>
        <w:rPr>
          <w:rFonts w:ascii="宋体" w:hAnsi="宋体" w:cs="Arial"/>
          <w:szCs w:val="21"/>
        </w:rPr>
        <w:t>5.2 逾期送达的或者未送达指定地点的投标文件，招标人不予受理。</w:t>
      </w:r>
    </w:p>
    <w:p>
      <w:pPr>
        <w:snapToGrid w:val="0"/>
        <w:spacing w:line="360" w:lineRule="exact"/>
        <w:rPr>
          <w:rFonts w:ascii="宋体" w:hAnsi="宋体" w:cs="Arial"/>
          <w:b/>
          <w:szCs w:val="21"/>
        </w:rPr>
      </w:pPr>
      <w:bookmarkStart w:id="15" w:name="_Toc157499355"/>
      <w:bookmarkStart w:id="16" w:name="_Toc179632533"/>
      <w:r>
        <w:rPr>
          <w:rFonts w:hint="eastAsia" w:ascii="宋体" w:hAnsi="宋体" w:cs="Arial"/>
          <w:b/>
          <w:szCs w:val="21"/>
        </w:rPr>
        <w:t>6. 发布公告的媒介</w:t>
      </w:r>
      <w:bookmarkEnd w:id="15"/>
      <w:bookmarkEnd w:id="16"/>
    </w:p>
    <w:p>
      <w:pPr>
        <w:spacing w:line="360" w:lineRule="exact"/>
        <w:ind w:firstLine="210" w:firstLineChars="100"/>
        <w:rPr>
          <w:szCs w:val="21"/>
        </w:rPr>
      </w:pPr>
      <w:r>
        <w:rPr>
          <w:rFonts w:hint="eastAsia"/>
        </w:rPr>
        <w:t>本次招标公告同时在</w:t>
      </w:r>
      <w:r>
        <w:rPr>
          <w:rFonts w:hint="eastAsia" w:ascii="宋体" w:cs="Arial"/>
          <w:szCs w:val="21"/>
          <w:u w:val="single"/>
        </w:rPr>
        <w:t>温州市中医院网站</w:t>
      </w:r>
      <w:r>
        <w:rPr>
          <w:rFonts w:hint="eastAsia"/>
        </w:rPr>
        <w:t>上发布。</w:t>
      </w:r>
    </w:p>
    <w:p>
      <w:pPr>
        <w:snapToGrid w:val="0"/>
        <w:spacing w:line="360" w:lineRule="exact"/>
        <w:rPr>
          <w:rFonts w:ascii="宋体" w:hAnsi="宋体" w:cs="Arial"/>
          <w:b/>
          <w:szCs w:val="21"/>
        </w:rPr>
      </w:pPr>
      <w:bookmarkStart w:id="17" w:name="_Toc152045517"/>
      <w:bookmarkStart w:id="18" w:name="_Toc179632534"/>
      <w:bookmarkStart w:id="19" w:name="_Toc144974485"/>
      <w:bookmarkStart w:id="20" w:name="_Toc152042293"/>
      <w:r>
        <w:rPr>
          <w:rFonts w:hint="eastAsia" w:ascii="宋体" w:hAnsi="宋体" w:cs="Arial"/>
          <w:b/>
          <w:szCs w:val="21"/>
        </w:rPr>
        <w:t>7</w:t>
      </w:r>
      <w:r>
        <w:rPr>
          <w:rFonts w:ascii="宋体" w:hAnsi="宋体" w:cs="Arial"/>
          <w:b/>
          <w:szCs w:val="21"/>
        </w:rPr>
        <w:t>. 联系方式</w:t>
      </w:r>
      <w:bookmarkEnd w:id="17"/>
      <w:bookmarkEnd w:id="18"/>
      <w:bookmarkEnd w:id="19"/>
      <w:bookmarkEnd w:id="20"/>
    </w:p>
    <w:p>
      <w:pPr>
        <w:spacing w:line="360" w:lineRule="exact"/>
        <w:ind w:firstLine="420" w:firstLineChars="200"/>
        <w:rPr>
          <w:rFonts w:ascii="宋体" w:cs="仿宋_GB2312"/>
          <w:kern w:val="0"/>
          <w:szCs w:val="21"/>
          <w:u w:val="single"/>
        </w:rPr>
      </w:pPr>
      <w:r>
        <w:rPr>
          <w:rFonts w:hint="eastAsia" w:ascii="宋体" w:cs="仿宋_GB2312"/>
          <w:kern w:val="0"/>
          <w:szCs w:val="21"/>
        </w:rPr>
        <w:t>招标人：</w:t>
      </w:r>
      <w:r>
        <w:rPr>
          <w:rFonts w:hint="eastAsia"/>
          <w:szCs w:val="21"/>
          <w:u w:val="single"/>
        </w:rPr>
        <w:t>温州市中医院</w:t>
      </w:r>
    </w:p>
    <w:p>
      <w:pPr>
        <w:spacing w:line="360" w:lineRule="exact"/>
        <w:ind w:firstLine="420" w:firstLineChars="200"/>
        <w:rPr>
          <w:szCs w:val="21"/>
          <w:u w:val="single"/>
        </w:rPr>
      </w:pPr>
      <w:r>
        <w:rPr>
          <w:rFonts w:hint="eastAsia" w:ascii="宋体"/>
          <w:szCs w:val="21"/>
        </w:rPr>
        <w:t>联系人：</w:t>
      </w:r>
      <w:r>
        <w:rPr>
          <w:rFonts w:hint="eastAsia" w:ascii="宋体"/>
          <w:szCs w:val="21"/>
          <w:u w:val="single"/>
        </w:rPr>
        <w:t xml:space="preserve"> 章工      </w:t>
      </w:r>
    </w:p>
    <w:p>
      <w:pPr>
        <w:spacing w:line="360" w:lineRule="exact"/>
        <w:ind w:firstLine="420" w:firstLineChars="200"/>
        <w:rPr>
          <w:szCs w:val="21"/>
          <w:u w:val="single"/>
        </w:rPr>
      </w:pPr>
      <w:r>
        <w:rPr>
          <w:rFonts w:hint="eastAsia" w:ascii="宋体"/>
          <w:szCs w:val="21"/>
        </w:rPr>
        <w:t>电  话：</w:t>
      </w:r>
      <w:r>
        <w:rPr>
          <w:rFonts w:hint="eastAsia"/>
          <w:szCs w:val="21"/>
          <w:u w:val="single"/>
        </w:rPr>
        <w:t xml:space="preserve">  </w:t>
      </w:r>
      <w:r>
        <w:rPr>
          <w:rFonts w:hint="eastAsia" w:ascii="宋体" w:hAnsi="宋体"/>
          <w:szCs w:val="21"/>
          <w:u w:val="single"/>
        </w:rPr>
        <w:t>15167462967</w:t>
      </w:r>
      <w:r>
        <w:rPr>
          <w:rFonts w:hint="eastAsia"/>
          <w:szCs w:val="21"/>
          <w:u w:val="single"/>
        </w:rPr>
        <w:t xml:space="preserve">  </w:t>
      </w:r>
    </w:p>
    <w:p>
      <w:pPr>
        <w:spacing w:line="360" w:lineRule="exact"/>
        <w:ind w:firstLine="420" w:firstLineChars="200"/>
        <w:rPr>
          <w:rFonts w:ascii="宋体" w:cs="仿宋_GB2312"/>
          <w:kern w:val="0"/>
          <w:szCs w:val="21"/>
          <w:u w:val="single"/>
        </w:rPr>
      </w:pPr>
      <w:r>
        <w:rPr>
          <w:rFonts w:hint="eastAsia" w:ascii="宋体" w:cs="仿宋_GB2312"/>
          <w:kern w:val="0"/>
          <w:szCs w:val="21"/>
        </w:rPr>
        <w:t>招标代理机构：</w:t>
      </w:r>
      <w:r>
        <w:rPr>
          <w:rFonts w:hint="eastAsia" w:ascii="宋体" w:cs="仿宋_GB2312"/>
          <w:kern w:val="0"/>
          <w:szCs w:val="21"/>
          <w:u w:val="single"/>
        </w:rPr>
        <w:t>温州正大工程项目管理有限公司</w:t>
      </w:r>
    </w:p>
    <w:p>
      <w:pPr>
        <w:spacing w:line="360" w:lineRule="exact"/>
        <w:ind w:firstLine="420" w:firstLineChars="200"/>
        <w:rPr>
          <w:rFonts w:ascii="宋体" w:cs="仿宋_GB2312"/>
          <w:kern w:val="0"/>
          <w:szCs w:val="21"/>
          <w:u w:val="single"/>
        </w:rPr>
      </w:pPr>
      <w:r>
        <w:rPr>
          <w:rFonts w:hint="eastAsia" w:ascii="宋体" w:cs="仿宋_GB2312"/>
          <w:kern w:val="0"/>
          <w:szCs w:val="21"/>
        </w:rPr>
        <w:t>地  址：</w:t>
      </w:r>
      <w:r>
        <w:rPr>
          <w:rFonts w:hint="eastAsia" w:ascii="宋体" w:cs="仿宋_GB2312"/>
          <w:kern w:val="0"/>
          <w:szCs w:val="21"/>
          <w:u w:val="single"/>
        </w:rPr>
        <w:t>温州经济技术开发区清江路110号403室</w:t>
      </w:r>
    </w:p>
    <w:p>
      <w:pPr>
        <w:spacing w:line="360" w:lineRule="exact"/>
        <w:ind w:firstLine="420" w:firstLineChars="200"/>
        <w:rPr>
          <w:rFonts w:ascii="宋体" w:cs="仿宋_GB2312"/>
          <w:kern w:val="0"/>
          <w:szCs w:val="21"/>
          <w:u w:val="single"/>
        </w:rPr>
      </w:pPr>
      <w:r>
        <w:rPr>
          <w:rFonts w:hint="eastAsia" w:ascii="宋体" w:cs="仿宋_GB2312"/>
          <w:kern w:val="0"/>
          <w:szCs w:val="21"/>
        </w:rPr>
        <w:t>联系人：</w:t>
      </w:r>
      <w:r>
        <w:rPr>
          <w:rFonts w:hint="eastAsia" w:ascii="宋体" w:cs="仿宋_GB2312"/>
          <w:kern w:val="0"/>
          <w:szCs w:val="21"/>
          <w:u w:val="single"/>
        </w:rPr>
        <w:t>朱先生</w:t>
      </w:r>
    </w:p>
    <w:p>
      <w:pPr>
        <w:spacing w:line="360" w:lineRule="exact"/>
        <w:ind w:firstLine="420" w:firstLineChars="200"/>
        <w:rPr>
          <w:rFonts w:ascii="宋体" w:cs="仿宋_GB2312"/>
          <w:kern w:val="0"/>
          <w:szCs w:val="21"/>
          <w:u w:val="single"/>
        </w:rPr>
      </w:pPr>
      <w:r>
        <w:rPr>
          <w:rFonts w:hint="eastAsia" w:ascii="宋体" w:cs="仿宋_GB2312"/>
          <w:kern w:val="0"/>
          <w:szCs w:val="21"/>
        </w:rPr>
        <w:t>电  话：</w:t>
      </w:r>
      <w:r>
        <w:rPr>
          <w:rFonts w:hint="eastAsia" w:ascii="宋体" w:cs="仿宋_GB2312"/>
          <w:kern w:val="0"/>
          <w:szCs w:val="21"/>
          <w:u w:val="single"/>
        </w:rPr>
        <w:t>0577-88897752,15267790717</w:t>
      </w:r>
    </w:p>
    <w:p>
      <w:pPr>
        <w:spacing w:line="360" w:lineRule="exact"/>
        <w:ind w:firstLine="420" w:firstLineChars="200"/>
      </w:pPr>
      <w:r>
        <w:rPr>
          <w:rFonts w:hint="eastAsia" w:ascii="宋体" w:cs="仿宋_GB2312"/>
          <w:kern w:val="0"/>
          <w:szCs w:val="21"/>
        </w:rPr>
        <w:t>传  真：</w:t>
      </w:r>
      <w:r>
        <w:rPr>
          <w:rFonts w:hint="eastAsia" w:ascii="宋体" w:cs="仿宋_GB2312"/>
          <w:kern w:val="0"/>
          <w:szCs w:val="21"/>
          <w:u w:val="single"/>
        </w:rPr>
        <w:t>0577-88897751</w:t>
      </w:r>
    </w:p>
    <w:p>
      <w:pPr>
        <w:tabs>
          <w:tab w:val="left" w:pos="6000"/>
          <w:tab w:val="left" w:pos="6840"/>
          <w:tab w:val="left" w:pos="7560"/>
        </w:tabs>
        <w:autoSpaceDE w:val="0"/>
        <w:autoSpaceDN w:val="0"/>
        <w:adjustRightInd w:val="0"/>
        <w:spacing w:line="360" w:lineRule="exact"/>
        <w:ind w:firstLine="420" w:firstLineChars="200"/>
        <w:jc w:val="right"/>
        <w:rPr>
          <w:rFonts w:ascii="宋体" w:hAnsi="宋体" w:cs="宋体"/>
        </w:rPr>
      </w:pPr>
      <w:r>
        <w:rPr>
          <w:rFonts w:hint="eastAsia" w:ascii="宋体" w:hAnsi="宋体" w:cs="宋体"/>
          <w:highlight w:val="yellow"/>
          <w:u w:val="single"/>
        </w:rPr>
        <w:t>2019</w:t>
      </w:r>
      <w:r>
        <w:rPr>
          <w:rFonts w:hint="eastAsia" w:ascii="宋体" w:hAnsi="宋体" w:cs="宋体"/>
          <w:highlight w:val="yellow"/>
        </w:rPr>
        <w:t>年</w:t>
      </w:r>
      <w:r>
        <w:rPr>
          <w:rFonts w:hint="eastAsia" w:ascii="宋体" w:hAnsi="宋体" w:cs="宋体"/>
          <w:highlight w:val="yellow"/>
          <w:u w:val="single"/>
        </w:rPr>
        <w:t>6</w:t>
      </w:r>
      <w:r>
        <w:rPr>
          <w:rFonts w:hint="eastAsia" w:ascii="宋体" w:hAnsi="宋体" w:cs="宋体"/>
          <w:highlight w:val="yellow"/>
        </w:rPr>
        <w:t>月</w:t>
      </w:r>
      <w:r>
        <w:rPr>
          <w:rFonts w:hint="eastAsia" w:ascii="宋体" w:hAnsi="宋体" w:cs="宋体"/>
          <w:highlight w:val="yellow"/>
          <w:u w:val="single"/>
        </w:rPr>
        <w:t>6</w:t>
      </w:r>
      <w:r>
        <w:rPr>
          <w:rFonts w:hint="eastAsia" w:ascii="宋体" w:hAnsi="宋体" w:cs="宋体"/>
          <w:highlight w:val="yellow"/>
        </w:rPr>
        <w:t>日</w:t>
      </w:r>
    </w:p>
    <w:p>
      <w:pPr>
        <w:tabs>
          <w:tab w:val="left" w:pos="6000"/>
          <w:tab w:val="left" w:pos="6840"/>
          <w:tab w:val="left" w:pos="7560"/>
        </w:tabs>
        <w:autoSpaceDE w:val="0"/>
        <w:autoSpaceDN w:val="0"/>
        <w:adjustRightInd w:val="0"/>
        <w:spacing w:line="360" w:lineRule="exact"/>
        <w:ind w:firstLine="420" w:firstLineChars="200"/>
        <w:jc w:val="center"/>
        <w:rPr>
          <w:rFonts w:ascii="黑体" w:eastAsia="黑体"/>
          <w:sz w:val="32"/>
          <w:szCs w:val="32"/>
        </w:rPr>
      </w:pPr>
      <w:r>
        <w:br w:type="page"/>
      </w:r>
      <w:bookmarkEnd w:id="2"/>
      <w:bookmarkEnd w:id="3"/>
      <w:bookmarkEnd w:id="4"/>
      <w:bookmarkEnd w:id="5"/>
      <w:bookmarkEnd w:id="6"/>
      <w:bookmarkEnd w:id="7"/>
      <w:bookmarkStart w:id="21" w:name="_Toc152045527"/>
      <w:bookmarkStart w:id="22" w:name="_Toc361338234"/>
      <w:bookmarkStart w:id="23" w:name="_Toc152042303"/>
      <w:bookmarkStart w:id="24" w:name="_Toc144974495"/>
      <w:r>
        <w:rPr>
          <w:rFonts w:hint="eastAsia" w:ascii="黑体" w:eastAsia="黑体"/>
          <w:sz w:val="32"/>
          <w:szCs w:val="32"/>
        </w:rPr>
        <w:t>第二章 投标人须知</w:t>
      </w:r>
      <w:bookmarkEnd w:id="21"/>
      <w:bookmarkEnd w:id="22"/>
      <w:bookmarkEnd w:id="23"/>
      <w:bookmarkEnd w:id="24"/>
    </w:p>
    <w:p>
      <w:pPr>
        <w:spacing w:line="440" w:lineRule="exact"/>
        <w:rPr>
          <w:rFonts w:ascii="黑体" w:eastAsia="黑体"/>
          <w:sz w:val="24"/>
        </w:rPr>
      </w:pPr>
      <w:bookmarkStart w:id="25" w:name="_Toc152042304"/>
      <w:bookmarkStart w:id="26" w:name="_Toc144974496"/>
      <w:bookmarkStart w:id="27" w:name="_Toc361338235"/>
      <w:bookmarkStart w:id="28" w:name="_Toc152045528"/>
      <w:r>
        <w:rPr>
          <w:rFonts w:hint="eastAsia" w:ascii="黑体" w:eastAsia="黑体"/>
          <w:sz w:val="24"/>
        </w:rPr>
        <w:t>投标人须知前附表</w:t>
      </w:r>
      <w:bookmarkEnd w:id="25"/>
      <w:bookmarkEnd w:id="26"/>
      <w:bookmarkEnd w:id="27"/>
      <w:bookmarkEnd w:id="28"/>
    </w:p>
    <w:tbl>
      <w:tblPr>
        <w:tblStyle w:val="32"/>
        <w:tblW w:w="9678" w:type="dxa"/>
        <w:tblInd w:w="-72" w:type="dxa"/>
        <w:tblLayout w:type="fixed"/>
        <w:tblCellMar>
          <w:top w:w="0" w:type="dxa"/>
          <w:left w:w="108" w:type="dxa"/>
          <w:bottom w:w="0" w:type="dxa"/>
          <w:right w:w="108" w:type="dxa"/>
        </w:tblCellMar>
      </w:tblPr>
      <w:tblGrid>
        <w:gridCol w:w="1069"/>
        <w:gridCol w:w="2010"/>
        <w:gridCol w:w="6599"/>
      </w:tblGrid>
      <w:tr>
        <w:tblPrEx>
          <w:tblLayout w:type="fixed"/>
          <w:tblCellMar>
            <w:top w:w="0" w:type="dxa"/>
            <w:left w:w="108" w:type="dxa"/>
            <w:bottom w:w="0" w:type="dxa"/>
            <w:right w:w="108" w:type="dxa"/>
          </w:tblCellMar>
        </w:tblPrEx>
        <w:trPr>
          <w:cantSplit/>
          <w:trHeight w:val="356" w:hRule="atLeast"/>
          <w:tblHeader/>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b/>
                <w:szCs w:val="21"/>
              </w:rPr>
            </w:pPr>
            <w:r>
              <w:rPr>
                <w:rFonts w:ascii="宋体" w:hAnsi="宋体"/>
                <w:b/>
                <w:szCs w:val="21"/>
              </w:rPr>
              <w:t>条款号</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b/>
                <w:szCs w:val="21"/>
              </w:rPr>
            </w:pPr>
            <w:r>
              <w:rPr>
                <w:rFonts w:ascii="宋体" w:hAnsi="宋体"/>
                <w:b/>
                <w:szCs w:val="21"/>
              </w:rPr>
              <w:t>条  款  名  称</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b/>
                <w:szCs w:val="21"/>
              </w:rPr>
            </w:pPr>
            <w:r>
              <w:rPr>
                <w:rFonts w:ascii="宋体" w:hAnsi="宋体"/>
                <w:b/>
                <w:szCs w:val="21"/>
              </w:rPr>
              <w:t>编  列  内  容</w:t>
            </w:r>
          </w:p>
        </w:tc>
      </w:tr>
      <w:tr>
        <w:tblPrEx>
          <w:tblLayout w:type="fixed"/>
          <w:tblCellMar>
            <w:top w:w="0" w:type="dxa"/>
            <w:left w:w="108" w:type="dxa"/>
            <w:bottom w:w="0" w:type="dxa"/>
            <w:right w:w="108" w:type="dxa"/>
          </w:tblCellMar>
        </w:tblPrEx>
        <w:trPr>
          <w:trHeight w:val="459" w:hRule="atLeast"/>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1.1.2</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项目名称</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szCs w:val="21"/>
              </w:rPr>
              <w:t>温州市中医院六虹桥院区综合楼病房玻璃门及门禁安装工程</w:t>
            </w:r>
          </w:p>
        </w:tc>
      </w:tr>
      <w:tr>
        <w:tblPrEx>
          <w:tblLayout w:type="fixed"/>
          <w:tblCellMar>
            <w:top w:w="0" w:type="dxa"/>
            <w:left w:w="108" w:type="dxa"/>
            <w:bottom w:w="0" w:type="dxa"/>
            <w:right w:w="108" w:type="dxa"/>
          </w:tblCellMar>
        </w:tblPrEx>
        <w:trPr>
          <w:trHeight w:val="1094" w:hRule="atLeast"/>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ascii="宋体" w:hAnsi="宋体"/>
                <w:szCs w:val="21"/>
              </w:rPr>
              <w:t>1.1.</w:t>
            </w:r>
            <w:r>
              <w:rPr>
                <w:rFonts w:hint="eastAsia" w:ascii="宋体" w:hAnsi="宋体"/>
                <w:szCs w:val="21"/>
              </w:rPr>
              <w:t>3</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ascii="宋体" w:hAnsi="宋体"/>
                <w:szCs w:val="21"/>
              </w:rPr>
              <w:t>招标人</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招标人名称：温州市中医院</w:t>
            </w:r>
          </w:p>
          <w:p>
            <w:pPr>
              <w:snapToGrid w:val="0"/>
              <w:spacing w:line="300" w:lineRule="exact"/>
              <w:rPr>
                <w:rFonts w:ascii="宋体" w:hAnsi="宋体"/>
                <w:szCs w:val="21"/>
              </w:rPr>
            </w:pPr>
            <w:r>
              <w:rPr>
                <w:rFonts w:hint="eastAsia" w:ascii="宋体" w:hAnsi="宋体"/>
                <w:szCs w:val="21"/>
              </w:rPr>
              <w:t>地址：温州市六虹桥蛟尾路9号</w:t>
            </w:r>
          </w:p>
          <w:p>
            <w:pPr>
              <w:snapToGrid w:val="0"/>
              <w:spacing w:line="300" w:lineRule="exact"/>
              <w:rPr>
                <w:rFonts w:ascii="宋体" w:hAnsi="宋体"/>
                <w:szCs w:val="21"/>
              </w:rPr>
            </w:pPr>
            <w:r>
              <w:rPr>
                <w:rFonts w:hint="eastAsia" w:ascii="宋体" w:hAnsi="宋体"/>
                <w:szCs w:val="21"/>
              </w:rPr>
              <w:t>联系人：章工</w:t>
            </w:r>
          </w:p>
          <w:p>
            <w:pPr>
              <w:autoSpaceDE w:val="0"/>
              <w:autoSpaceDN w:val="0"/>
              <w:snapToGrid w:val="0"/>
              <w:jc w:val="left"/>
              <w:rPr>
                <w:rFonts w:ascii="宋体" w:hAnsi="宋体"/>
                <w:szCs w:val="21"/>
              </w:rPr>
            </w:pPr>
            <w:r>
              <w:rPr>
                <w:rFonts w:hint="eastAsia" w:ascii="宋体" w:hAnsi="宋体"/>
                <w:szCs w:val="21"/>
              </w:rPr>
              <w:t>电话：15167462967</w:t>
            </w:r>
          </w:p>
        </w:tc>
      </w:tr>
      <w:tr>
        <w:tblPrEx>
          <w:tblLayout w:type="fixed"/>
          <w:tblCellMar>
            <w:top w:w="0" w:type="dxa"/>
            <w:left w:w="108" w:type="dxa"/>
            <w:bottom w:w="0" w:type="dxa"/>
            <w:right w:w="108" w:type="dxa"/>
          </w:tblCellMar>
        </w:tblPrEx>
        <w:trPr>
          <w:trHeight w:val="954" w:hRule="atLeast"/>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ascii="宋体" w:hAnsi="宋体"/>
                <w:szCs w:val="21"/>
              </w:rPr>
              <w:t>1.1.</w:t>
            </w:r>
            <w:r>
              <w:rPr>
                <w:rFonts w:hint="eastAsia" w:ascii="宋体" w:hAnsi="宋体"/>
                <w:szCs w:val="21"/>
              </w:rPr>
              <w:t>4</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ascii="宋体" w:hAnsi="宋体"/>
                <w:szCs w:val="21"/>
              </w:rPr>
              <w:t>招标代理机构</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ascii="宋体" w:hAnsi="宋体"/>
                <w:szCs w:val="21"/>
              </w:rPr>
              <w:t>名称：</w:t>
            </w:r>
            <w:r>
              <w:rPr>
                <w:rFonts w:hint="eastAsia" w:ascii="宋体" w:hAnsi="宋体"/>
                <w:szCs w:val="21"/>
              </w:rPr>
              <w:t>温州正大工程项目管理有限公司</w:t>
            </w:r>
          </w:p>
          <w:p>
            <w:pPr>
              <w:snapToGrid w:val="0"/>
              <w:spacing w:line="300" w:lineRule="exact"/>
              <w:rPr>
                <w:rFonts w:ascii="宋体" w:hAnsi="宋体"/>
                <w:szCs w:val="21"/>
              </w:rPr>
            </w:pPr>
            <w:r>
              <w:rPr>
                <w:rFonts w:ascii="宋体" w:hAnsi="宋体"/>
                <w:szCs w:val="21"/>
              </w:rPr>
              <w:t>地址：</w:t>
            </w:r>
            <w:r>
              <w:rPr>
                <w:rFonts w:hint="eastAsia" w:ascii="宋体" w:hAnsi="宋体"/>
                <w:szCs w:val="21"/>
              </w:rPr>
              <w:t>温州经济技术开发区清江路110号403室</w:t>
            </w:r>
          </w:p>
          <w:p>
            <w:pPr>
              <w:snapToGrid w:val="0"/>
              <w:spacing w:line="300" w:lineRule="exact"/>
              <w:rPr>
                <w:rFonts w:ascii="宋体" w:hAnsi="宋体"/>
                <w:szCs w:val="21"/>
              </w:rPr>
            </w:pPr>
            <w:r>
              <w:rPr>
                <w:rFonts w:ascii="宋体" w:hAnsi="宋体"/>
                <w:szCs w:val="21"/>
              </w:rPr>
              <w:t>联系人：</w:t>
            </w:r>
            <w:r>
              <w:rPr>
                <w:rFonts w:hint="eastAsia" w:ascii="宋体" w:hAnsi="宋体"/>
                <w:szCs w:val="21"/>
              </w:rPr>
              <w:t>饶先生</w:t>
            </w:r>
          </w:p>
          <w:p>
            <w:pPr>
              <w:autoSpaceDE w:val="0"/>
              <w:autoSpaceDN w:val="0"/>
              <w:snapToGrid w:val="0"/>
              <w:spacing w:line="300" w:lineRule="exact"/>
              <w:rPr>
                <w:rFonts w:ascii="宋体" w:hAnsi="宋体"/>
                <w:szCs w:val="21"/>
              </w:rPr>
            </w:pPr>
            <w:r>
              <w:rPr>
                <w:rFonts w:ascii="宋体" w:hAnsi="宋体"/>
                <w:szCs w:val="21"/>
              </w:rPr>
              <w:t>电话：</w:t>
            </w:r>
            <w:r>
              <w:rPr>
                <w:rFonts w:hint="eastAsia" w:ascii="宋体" w:hAnsi="宋体"/>
                <w:szCs w:val="21"/>
              </w:rPr>
              <w:t>0577-88897752,15988783447</w:t>
            </w:r>
          </w:p>
        </w:tc>
      </w:tr>
      <w:tr>
        <w:tblPrEx>
          <w:tblLayout w:type="fixed"/>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1.1.5</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项目概况</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cs="Arial"/>
                <w:szCs w:val="21"/>
              </w:rPr>
              <w:t>见招标公告</w:t>
            </w:r>
          </w:p>
        </w:tc>
      </w:tr>
      <w:tr>
        <w:tblPrEx>
          <w:tblLayout w:type="fixed"/>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ascii="宋体" w:hAnsi="宋体"/>
                <w:szCs w:val="21"/>
              </w:rPr>
              <w:t>1.2.1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ascii="宋体" w:hAnsi="宋体"/>
                <w:szCs w:val="21"/>
              </w:rPr>
              <w:t>资金来源</w:t>
            </w:r>
          </w:p>
        </w:tc>
        <w:tc>
          <w:tcPr>
            <w:tcW w:w="6599" w:type="dxa"/>
            <w:tcBorders>
              <w:top w:val="single" w:color="auto" w:sz="4" w:space="0"/>
              <w:left w:val="single" w:color="auto" w:sz="4" w:space="0"/>
              <w:bottom w:val="single" w:color="auto" w:sz="4" w:space="0"/>
              <w:right w:val="single" w:color="auto" w:sz="4" w:space="0"/>
            </w:tcBorders>
            <w:vAlign w:val="center"/>
          </w:tcPr>
          <w:p>
            <w:pPr>
              <w:adjustRightInd w:val="0"/>
              <w:spacing w:line="260" w:lineRule="exact"/>
              <w:textAlignment w:val="baseline"/>
              <w:rPr>
                <w:rFonts w:ascii="宋体" w:hAnsi="宋体"/>
                <w:szCs w:val="21"/>
              </w:rPr>
            </w:pPr>
            <w:r>
              <w:rPr>
                <w:rFonts w:hint="eastAsia" w:ascii="宋体" w:hAnsi="宋体"/>
                <w:szCs w:val="21"/>
              </w:rPr>
              <w:t>自筹</w:t>
            </w:r>
          </w:p>
        </w:tc>
      </w:tr>
      <w:tr>
        <w:tblPrEx>
          <w:tblLayout w:type="fixed"/>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ascii="宋体" w:hAnsi="宋体"/>
                <w:szCs w:val="21"/>
              </w:rPr>
              <w:t>1.2.2</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ascii="宋体" w:hAnsi="宋体"/>
                <w:szCs w:val="21"/>
              </w:rPr>
              <w:t>出资比例</w:t>
            </w:r>
          </w:p>
        </w:tc>
        <w:tc>
          <w:tcPr>
            <w:tcW w:w="6599" w:type="dxa"/>
            <w:tcBorders>
              <w:top w:val="single" w:color="auto" w:sz="4" w:space="0"/>
              <w:left w:val="single" w:color="auto" w:sz="4" w:space="0"/>
              <w:bottom w:val="single" w:color="auto" w:sz="4" w:space="0"/>
              <w:right w:val="single" w:color="auto" w:sz="4" w:space="0"/>
            </w:tcBorders>
            <w:vAlign w:val="center"/>
          </w:tcPr>
          <w:p>
            <w:pPr>
              <w:adjustRightInd w:val="0"/>
              <w:spacing w:line="260" w:lineRule="exact"/>
              <w:textAlignment w:val="baseline"/>
              <w:rPr>
                <w:rFonts w:ascii="宋体" w:hAnsi="宋体"/>
                <w:szCs w:val="21"/>
              </w:rPr>
            </w:pPr>
            <w:r>
              <w:rPr>
                <w:rFonts w:hint="eastAsia" w:ascii="宋体" w:hAnsi="宋体"/>
                <w:szCs w:val="21"/>
              </w:rPr>
              <w:t>100%</w:t>
            </w:r>
          </w:p>
        </w:tc>
      </w:tr>
      <w:tr>
        <w:tblPrEx>
          <w:tblLayout w:type="fixed"/>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ascii="宋体" w:hAnsi="宋体"/>
                <w:szCs w:val="21"/>
              </w:rPr>
              <w:t>1.2.3</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资金</w:t>
            </w:r>
            <w:r>
              <w:rPr>
                <w:rFonts w:ascii="宋体" w:hAnsi="宋体"/>
                <w:szCs w:val="21"/>
              </w:rPr>
              <w:t>落实情况</w:t>
            </w:r>
          </w:p>
        </w:tc>
        <w:tc>
          <w:tcPr>
            <w:tcW w:w="6599" w:type="dxa"/>
            <w:tcBorders>
              <w:top w:val="single" w:color="auto" w:sz="4" w:space="0"/>
              <w:left w:val="single" w:color="auto" w:sz="4" w:space="0"/>
              <w:bottom w:val="single" w:color="auto" w:sz="4" w:space="0"/>
              <w:right w:val="single" w:color="auto" w:sz="4" w:space="0"/>
            </w:tcBorders>
            <w:vAlign w:val="center"/>
          </w:tcPr>
          <w:p>
            <w:pPr>
              <w:adjustRightInd w:val="0"/>
              <w:spacing w:line="260" w:lineRule="exact"/>
              <w:textAlignment w:val="baseline"/>
              <w:rPr>
                <w:rFonts w:ascii="宋体" w:hAnsi="宋体"/>
                <w:szCs w:val="21"/>
              </w:rPr>
            </w:pPr>
            <w:r>
              <w:rPr>
                <w:rFonts w:hint="eastAsia" w:ascii="宋体" w:hAnsi="宋体"/>
                <w:szCs w:val="21"/>
              </w:rPr>
              <w:t>已落实</w:t>
            </w:r>
          </w:p>
        </w:tc>
      </w:tr>
      <w:tr>
        <w:tblPrEx>
          <w:tblLayout w:type="fixed"/>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ascii="宋体" w:hAnsi="宋体"/>
                <w:szCs w:val="21"/>
              </w:rPr>
              <w:t>1.</w:t>
            </w:r>
            <w:r>
              <w:rPr>
                <w:rFonts w:hint="eastAsia" w:ascii="宋体" w:hAnsi="宋体"/>
                <w:szCs w:val="21"/>
              </w:rPr>
              <w:t>3</w:t>
            </w:r>
            <w:r>
              <w:rPr>
                <w:rFonts w:ascii="宋体" w:hAnsi="宋体"/>
                <w:szCs w:val="21"/>
              </w:rPr>
              <w:t>.1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本标段工程服务内容和范围</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cs="Arial"/>
                <w:szCs w:val="21"/>
              </w:rPr>
              <w:t>温州市中医院六虹桥院区综合楼病房玻璃门及门禁</w:t>
            </w:r>
            <w:r>
              <w:rPr>
                <w:rFonts w:hint="eastAsia" w:ascii="Arial" w:hAnsi="Arial" w:cs="Arial"/>
                <w:color w:val="000000"/>
                <w:szCs w:val="21"/>
              </w:rPr>
              <w:t>的制作、供货、安装、验收及售后服务，</w:t>
            </w:r>
            <w:r>
              <w:rPr>
                <w:rFonts w:hint="eastAsia" w:ascii="宋体" w:hAnsi="宋体" w:cs="Arial"/>
                <w:szCs w:val="21"/>
              </w:rPr>
              <w:t>具体要求详见招标文件第五章招标内容。</w:t>
            </w:r>
          </w:p>
        </w:tc>
      </w:tr>
      <w:tr>
        <w:tblPrEx>
          <w:tblLayout w:type="fixed"/>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1.3.2</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服务期</w:t>
            </w:r>
          </w:p>
        </w:tc>
        <w:tc>
          <w:tcPr>
            <w:tcW w:w="6599" w:type="dxa"/>
            <w:tcBorders>
              <w:top w:val="single" w:color="auto" w:sz="4" w:space="0"/>
              <w:left w:val="single" w:color="auto" w:sz="4" w:space="0"/>
              <w:bottom w:val="single" w:color="auto" w:sz="4" w:space="0"/>
              <w:right w:val="single" w:color="auto" w:sz="4" w:space="0"/>
            </w:tcBorders>
            <w:vAlign w:val="center"/>
          </w:tcPr>
          <w:p>
            <w:pPr>
              <w:adjustRightInd w:val="0"/>
              <w:spacing w:line="260" w:lineRule="exact"/>
              <w:textAlignment w:val="baseline"/>
              <w:rPr>
                <w:rFonts w:ascii="宋体" w:hAnsi="宋体"/>
                <w:szCs w:val="21"/>
              </w:rPr>
            </w:pPr>
            <w:r>
              <w:rPr>
                <w:rFonts w:hint="eastAsia" w:ascii="宋体" w:hAnsi="宋体" w:cs="Arial"/>
                <w:szCs w:val="21"/>
              </w:rPr>
              <w:t>30日历天</w:t>
            </w:r>
          </w:p>
        </w:tc>
      </w:tr>
      <w:tr>
        <w:tblPrEx>
          <w:tblLayout w:type="fixed"/>
          <w:tblCellMar>
            <w:top w:w="0" w:type="dxa"/>
            <w:left w:w="108" w:type="dxa"/>
            <w:bottom w:w="0" w:type="dxa"/>
            <w:right w:w="108" w:type="dxa"/>
          </w:tblCellMar>
        </w:tblPrEx>
        <w:trPr>
          <w:trHeight w:val="1219" w:hRule="atLeast"/>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1.4.1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投标人资格要求（适用于未进行资格预审的）</w:t>
            </w:r>
          </w:p>
        </w:tc>
        <w:tc>
          <w:tcPr>
            <w:tcW w:w="6599" w:type="dxa"/>
            <w:tcBorders>
              <w:top w:val="single" w:color="auto" w:sz="4" w:space="0"/>
              <w:left w:val="single" w:color="auto" w:sz="4" w:space="0"/>
              <w:bottom w:val="single" w:color="auto" w:sz="4" w:space="0"/>
              <w:right w:val="single" w:color="auto" w:sz="4" w:space="0"/>
            </w:tcBorders>
          </w:tcPr>
          <w:p>
            <w:pPr>
              <w:snapToGrid w:val="0"/>
              <w:spacing w:line="300" w:lineRule="exact"/>
              <w:jc w:val="left"/>
              <w:rPr>
                <w:rFonts w:ascii="宋体" w:hAnsi="宋体"/>
                <w:szCs w:val="21"/>
              </w:rPr>
            </w:pPr>
            <w:r>
              <w:rPr>
                <w:rFonts w:hint="eastAsia" w:ascii="宋体" w:hAnsi="宋体"/>
                <w:szCs w:val="21"/>
              </w:rPr>
              <w:t>（1）企业资格条件：</w:t>
            </w:r>
            <w:r>
              <w:rPr>
                <w:rFonts w:hint="eastAsia" w:ascii="宋体" w:hAnsi="宋体"/>
                <w:szCs w:val="21"/>
                <w:u w:val="single"/>
              </w:rPr>
              <w:t>有效的营业执照</w:t>
            </w:r>
            <w:r>
              <w:rPr>
                <w:rFonts w:ascii="宋体" w:hAnsi="宋体"/>
                <w:szCs w:val="21"/>
                <w:u w:val="single"/>
              </w:rPr>
              <w:t>。</w:t>
            </w:r>
          </w:p>
          <w:p>
            <w:pPr>
              <w:snapToGrid w:val="0"/>
              <w:spacing w:line="300" w:lineRule="exact"/>
              <w:rPr>
                <w:rFonts w:ascii="宋体" w:hAnsi="宋体"/>
                <w:szCs w:val="21"/>
              </w:rPr>
            </w:pPr>
            <w:r>
              <w:rPr>
                <w:rFonts w:hint="eastAsia" w:ascii="宋体" w:hAnsi="宋体"/>
                <w:szCs w:val="21"/>
              </w:rPr>
              <w:t>（2）企业业绩要求：</w:t>
            </w:r>
            <w:r>
              <w:rPr>
                <w:rFonts w:hint="eastAsia" w:ascii="宋体" w:hAnsi="宋体" w:cs="Arial"/>
                <w:szCs w:val="21"/>
                <w:u w:val="single"/>
              </w:rPr>
              <w:t>不要求</w:t>
            </w:r>
            <w:r>
              <w:rPr>
                <w:rFonts w:hint="eastAsia" w:ascii="宋体" w:hAnsi="宋体" w:cs="Arial"/>
                <w:szCs w:val="21"/>
              </w:rPr>
              <w:t>。</w:t>
            </w:r>
          </w:p>
          <w:p>
            <w:pPr>
              <w:spacing w:line="300" w:lineRule="exact"/>
              <w:rPr>
                <w:rFonts w:ascii="宋体" w:hAnsi="宋体"/>
                <w:szCs w:val="21"/>
              </w:rPr>
            </w:pPr>
            <w:r>
              <w:rPr>
                <w:rFonts w:hint="eastAsia" w:ascii="宋体" w:hAnsi="宋体"/>
                <w:szCs w:val="21"/>
              </w:rPr>
              <w:t>（3）信誉要求：</w:t>
            </w:r>
            <w:r>
              <w:rPr>
                <w:rFonts w:hint="eastAsia" w:ascii="宋体" w:hAnsi="宋体" w:cs="Arial"/>
                <w:szCs w:val="21"/>
                <w:u w:val="single"/>
              </w:rPr>
              <w:t>不要求</w:t>
            </w:r>
            <w:r>
              <w:rPr>
                <w:rFonts w:hint="eastAsia" w:ascii="宋体" w:hAnsi="宋体" w:cs="Arial"/>
                <w:szCs w:val="21"/>
              </w:rPr>
              <w:t>。</w:t>
            </w:r>
          </w:p>
          <w:p>
            <w:pPr>
              <w:spacing w:line="300" w:lineRule="exact"/>
              <w:rPr>
                <w:rFonts w:ascii="宋体" w:hAnsi="宋体"/>
                <w:szCs w:val="21"/>
              </w:rPr>
            </w:pPr>
            <w:r>
              <w:rPr>
                <w:rFonts w:hint="eastAsia" w:ascii="宋体" w:hAnsi="宋体"/>
                <w:szCs w:val="21"/>
              </w:rPr>
              <w:t>（4）其他要求：</w:t>
            </w:r>
            <w:r>
              <w:rPr>
                <w:rFonts w:hint="eastAsia" w:ascii="宋体" w:hAnsi="宋体"/>
                <w:szCs w:val="21"/>
                <w:u w:val="single"/>
              </w:rPr>
              <w:t>无</w:t>
            </w:r>
            <w:r>
              <w:rPr>
                <w:rFonts w:hint="eastAsia" w:ascii="宋体" w:hAnsi="宋体"/>
                <w:szCs w:val="21"/>
              </w:rPr>
              <w:t>。</w:t>
            </w:r>
          </w:p>
        </w:tc>
      </w:tr>
      <w:tr>
        <w:tblPrEx>
          <w:tblLayout w:type="fixed"/>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1.4.2</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是否接受联合体投标</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r>
              <w:rPr>
                <w:rFonts w:hint="eastAsia" w:ascii="宋体" w:hAnsi="宋体"/>
                <w:szCs w:val="21"/>
              </w:rPr>
              <w:fldChar w:fldCharType="begin"/>
            </w:r>
            <w:r>
              <w:rPr>
                <w:rFonts w:hint="eastAsia" w:ascii="宋体" w:hAnsi="宋体"/>
                <w:szCs w:val="21"/>
              </w:rPr>
              <w:instrText xml:space="preserve"> eq \o\ac(□,</w:instrText>
            </w:r>
            <w:r>
              <w:rPr>
                <w:rFonts w:hint="eastAsia" w:ascii="宋体" w:hAnsi="宋体"/>
                <w:position w:val="2"/>
                <w:szCs w:val="21"/>
              </w:rPr>
              <w:instrText xml:space="preserve">√</w:instrText>
            </w:r>
            <w:r>
              <w:rPr>
                <w:rFonts w:hint="eastAsia" w:ascii="宋体" w:hAnsi="宋体"/>
                <w:szCs w:val="21"/>
              </w:rPr>
              <w:instrText xml:space="preserve">)</w:instrText>
            </w:r>
            <w:r>
              <w:rPr>
                <w:rFonts w:hint="eastAsia" w:ascii="宋体" w:hAnsi="宋体"/>
                <w:szCs w:val="21"/>
              </w:rPr>
              <w:fldChar w:fldCharType="end"/>
            </w:r>
            <w:r>
              <w:rPr>
                <w:rFonts w:hint="eastAsia" w:ascii="宋体" w:hAnsi="宋体"/>
                <w:szCs w:val="21"/>
              </w:rPr>
              <w:t>不接受</w:t>
            </w:r>
          </w:p>
        </w:tc>
      </w:tr>
      <w:tr>
        <w:tblPrEx>
          <w:tblLayout w:type="fixed"/>
          <w:tblCellMar>
            <w:top w:w="0" w:type="dxa"/>
            <w:left w:w="108" w:type="dxa"/>
            <w:bottom w:w="0" w:type="dxa"/>
            <w:right w:w="108" w:type="dxa"/>
          </w:tblCellMar>
        </w:tblPrEx>
        <w:trPr>
          <w:trHeight w:val="341" w:hRule="atLeast"/>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1.10.1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踏勘现场</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r>
              <w:rPr>
                <w:rFonts w:hint="eastAsia" w:ascii="宋体" w:hAnsi="宋体"/>
                <w:szCs w:val="21"/>
              </w:rPr>
              <w:fldChar w:fldCharType="begin"/>
            </w:r>
            <w:r>
              <w:rPr>
                <w:rFonts w:hint="eastAsia" w:ascii="宋体" w:hAnsi="宋体"/>
                <w:szCs w:val="21"/>
              </w:rPr>
              <w:instrText xml:space="preserve"> eq \o\ac(□,</w:instrText>
            </w:r>
            <w:r>
              <w:rPr>
                <w:rFonts w:hint="eastAsia" w:ascii="宋体" w:hAnsi="宋体"/>
                <w:position w:val="2"/>
                <w:szCs w:val="21"/>
              </w:rPr>
              <w:instrText xml:space="preserve">√</w:instrText>
            </w:r>
            <w:r>
              <w:rPr>
                <w:rFonts w:hint="eastAsia" w:ascii="宋体" w:hAnsi="宋体"/>
                <w:szCs w:val="21"/>
              </w:rPr>
              <w:instrText xml:space="preserve">)</w:instrText>
            </w:r>
            <w:r>
              <w:rPr>
                <w:rFonts w:hint="eastAsia" w:ascii="宋体" w:hAnsi="宋体"/>
                <w:szCs w:val="21"/>
              </w:rPr>
              <w:fldChar w:fldCharType="end"/>
            </w:r>
            <w:r>
              <w:rPr>
                <w:rFonts w:hint="eastAsia" w:ascii="宋体" w:hAnsi="宋体"/>
                <w:szCs w:val="21"/>
              </w:rPr>
              <w:t>不组织，由投标人自行前往踏勘。</w:t>
            </w:r>
          </w:p>
        </w:tc>
      </w:tr>
      <w:tr>
        <w:tblPrEx>
          <w:tblLayout w:type="fixed"/>
          <w:tblCellMar>
            <w:top w:w="0" w:type="dxa"/>
            <w:left w:w="108" w:type="dxa"/>
            <w:bottom w:w="0" w:type="dxa"/>
            <w:right w:w="108" w:type="dxa"/>
          </w:tblCellMar>
        </w:tblPrEx>
        <w:trPr>
          <w:trHeight w:val="458" w:hRule="atLeast"/>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1.11.1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投标预备会</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szCs w:val="21"/>
              </w:rPr>
            </w:pPr>
            <w:r>
              <w:rPr>
                <w:rFonts w:hint="eastAsia" w:ascii="宋体" w:hAnsi="宋体"/>
                <w:szCs w:val="21"/>
              </w:rPr>
              <w:fldChar w:fldCharType="begin"/>
            </w:r>
            <w:r>
              <w:rPr>
                <w:rFonts w:hint="eastAsia" w:ascii="宋体" w:hAnsi="宋体"/>
                <w:szCs w:val="21"/>
              </w:rPr>
              <w:instrText xml:space="preserve"> eq \o\ac(□,</w:instrText>
            </w:r>
            <w:r>
              <w:rPr>
                <w:rFonts w:hint="eastAsia" w:ascii="宋体" w:hAnsi="宋体"/>
                <w:position w:val="2"/>
                <w:szCs w:val="21"/>
              </w:rPr>
              <w:instrText xml:space="preserve">√</w:instrText>
            </w:r>
            <w:r>
              <w:rPr>
                <w:rFonts w:hint="eastAsia" w:ascii="宋体" w:hAnsi="宋体"/>
                <w:szCs w:val="21"/>
              </w:rPr>
              <w:instrText xml:space="preserve">)</w:instrText>
            </w:r>
            <w:r>
              <w:rPr>
                <w:rFonts w:hint="eastAsia" w:ascii="宋体" w:hAnsi="宋体"/>
                <w:szCs w:val="21"/>
              </w:rPr>
              <w:fldChar w:fldCharType="end"/>
            </w:r>
            <w:r>
              <w:rPr>
                <w:rFonts w:hint="eastAsia" w:ascii="宋体" w:hAnsi="宋体"/>
                <w:szCs w:val="21"/>
              </w:rPr>
              <w:t>不召开</w:t>
            </w:r>
          </w:p>
        </w:tc>
      </w:tr>
      <w:tr>
        <w:tblPrEx>
          <w:tblLayout w:type="fixed"/>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1.11.2</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ascii="宋体" w:hAnsi="宋体"/>
                <w:szCs w:val="21"/>
              </w:rPr>
              <w:t>投标人</w:t>
            </w:r>
            <w:r>
              <w:rPr>
                <w:rFonts w:hint="eastAsia" w:ascii="宋体" w:hAnsi="宋体"/>
                <w:szCs w:val="21"/>
              </w:rPr>
              <w:t>提出</w:t>
            </w:r>
            <w:r>
              <w:rPr>
                <w:rFonts w:ascii="宋体" w:hAnsi="宋体"/>
                <w:szCs w:val="21"/>
              </w:rPr>
              <w:t>问题的截止时间</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cs="Arial"/>
                <w:szCs w:val="21"/>
              </w:rPr>
              <w:t>在</w:t>
            </w:r>
            <w:r>
              <w:rPr>
                <w:rFonts w:ascii="宋体" w:hAnsi="宋体" w:cs="Arial"/>
                <w:szCs w:val="21"/>
              </w:rPr>
              <w:t>2</w:t>
            </w:r>
            <w:r>
              <w:rPr>
                <w:rFonts w:ascii="宋体" w:hAnsi="宋体" w:cs="Arial"/>
                <w:szCs w:val="21"/>
                <w:highlight w:val="yellow"/>
              </w:rPr>
              <w:t>01</w:t>
            </w:r>
            <w:r>
              <w:rPr>
                <w:rFonts w:hint="eastAsia" w:ascii="宋体" w:hAnsi="宋体" w:cs="Arial"/>
                <w:szCs w:val="21"/>
                <w:highlight w:val="yellow"/>
              </w:rPr>
              <w:t>9年6月13日</w:t>
            </w:r>
            <w:r>
              <w:rPr>
                <w:rFonts w:ascii="宋体" w:hAnsi="宋体" w:cs="Arial"/>
                <w:szCs w:val="21"/>
              </w:rPr>
              <w:t>12</w:t>
            </w:r>
            <w:r>
              <w:rPr>
                <w:rFonts w:hint="eastAsia" w:ascii="宋体" w:hAnsi="宋体" w:cs="Arial"/>
                <w:szCs w:val="21"/>
              </w:rPr>
              <w:t>时</w:t>
            </w:r>
            <w:r>
              <w:rPr>
                <w:rFonts w:ascii="宋体" w:hAnsi="宋体" w:cs="Arial"/>
                <w:szCs w:val="21"/>
              </w:rPr>
              <w:t>00</w:t>
            </w:r>
            <w:r>
              <w:rPr>
                <w:rFonts w:hint="eastAsia" w:ascii="宋体" w:hAnsi="宋体" w:cs="Arial"/>
                <w:szCs w:val="21"/>
              </w:rPr>
              <w:t>分前，投标单位以传真方式发送到招标代理公司并发送至邮箱</w:t>
            </w:r>
            <w:r>
              <w:fldChar w:fldCharType="begin"/>
            </w:r>
            <w:r>
              <w:instrText xml:space="preserve"> HYPERLINK "mailto:2772048839@qq.com" </w:instrText>
            </w:r>
            <w:r>
              <w:fldChar w:fldCharType="separate"/>
            </w:r>
            <w:r>
              <w:rPr>
                <w:rFonts w:ascii="宋体" w:hAnsi="宋体" w:cs="Arial"/>
                <w:szCs w:val="21"/>
              </w:rPr>
              <w:t>2772048839@qq.com</w:t>
            </w:r>
            <w:r>
              <w:rPr>
                <w:rFonts w:ascii="宋体" w:hAnsi="宋体" w:cs="Arial"/>
                <w:szCs w:val="21"/>
              </w:rPr>
              <w:fldChar w:fldCharType="end"/>
            </w:r>
            <w:r>
              <w:rPr>
                <w:rFonts w:hint="eastAsia" w:ascii="宋体" w:hAnsi="宋体" w:cs="Arial"/>
                <w:szCs w:val="21"/>
              </w:rPr>
              <w:t>，提问请注明工程名称，传真号码：</w:t>
            </w:r>
            <w:r>
              <w:rPr>
                <w:rFonts w:ascii="宋体" w:hAnsi="宋体" w:cs="Arial"/>
                <w:szCs w:val="21"/>
              </w:rPr>
              <w:t>0577-88897551</w:t>
            </w:r>
            <w:r>
              <w:rPr>
                <w:rFonts w:hint="eastAsia" w:ascii="宋体" w:hAnsi="宋体" w:cs="Arial"/>
                <w:szCs w:val="21"/>
              </w:rPr>
              <w:t>。</w:t>
            </w:r>
          </w:p>
        </w:tc>
      </w:tr>
      <w:tr>
        <w:tblPrEx>
          <w:tblLayout w:type="fixed"/>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1.11.3</w:t>
            </w:r>
          </w:p>
        </w:tc>
        <w:tc>
          <w:tcPr>
            <w:tcW w:w="201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szCs w:val="21"/>
              </w:rPr>
            </w:pPr>
            <w:r>
              <w:rPr>
                <w:rFonts w:ascii="宋体" w:hAnsi="宋体"/>
                <w:szCs w:val="21"/>
              </w:rPr>
              <w:t>招标人澄清的时间</w:t>
            </w:r>
          </w:p>
        </w:tc>
        <w:tc>
          <w:tcPr>
            <w:tcW w:w="65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Cs w:val="21"/>
              </w:rPr>
            </w:pPr>
            <w:r>
              <w:rPr>
                <w:rFonts w:hint="eastAsia"/>
                <w:color w:val="000000"/>
                <w:szCs w:val="21"/>
              </w:rPr>
              <w:t>/</w:t>
            </w:r>
          </w:p>
        </w:tc>
      </w:tr>
      <w:tr>
        <w:tblPrEx>
          <w:tblLayout w:type="fixed"/>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2.1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ascii="宋体" w:hAnsi="宋体"/>
                <w:szCs w:val="21"/>
              </w:rPr>
              <w:t>构成招标文件的其他材料</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w:t>
            </w:r>
          </w:p>
        </w:tc>
      </w:tr>
      <w:tr>
        <w:tblPrEx>
          <w:tblLayout w:type="fixed"/>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ascii="宋体" w:hAnsi="宋体"/>
                <w:szCs w:val="21"/>
              </w:rPr>
              <w:t>2.2.1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ascii="宋体" w:hAnsi="宋体"/>
                <w:szCs w:val="21"/>
              </w:rPr>
              <w:t>投标人要求澄清招标文件的截止时间</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FF0000"/>
                <w:szCs w:val="21"/>
              </w:rPr>
            </w:pPr>
            <w:r>
              <w:rPr>
                <w:rFonts w:hint="eastAsia" w:ascii="宋体" w:hAnsi="宋体" w:cs="Arial"/>
                <w:szCs w:val="21"/>
              </w:rPr>
              <w:t>同本章前附表1.11.2</w:t>
            </w:r>
          </w:p>
        </w:tc>
      </w:tr>
      <w:tr>
        <w:tblPrEx>
          <w:tblLayout w:type="fixed"/>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ascii="宋体" w:hAnsi="宋体"/>
                <w:szCs w:val="21"/>
              </w:rPr>
              <w:t>2.2.2</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ascii="宋体" w:hAnsi="宋体"/>
                <w:szCs w:val="21"/>
              </w:rPr>
              <w:t>招标人澄清时间</w:t>
            </w:r>
          </w:p>
        </w:tc>
        <w:tc>
          <w:tcPr>
            <w:tcW w:w="659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szCs w:val="21"/>
              </w:rPr>
            </w:pPr>
            <w:r>
              <w:rPr>
                <w:rFonts w:hint="eastAsia" w:ascii="宋体" w:hAnsi="宋体"/>
                <w:kern w:val="0"/>
                <w:szCs w:val="21"/>
              </w:rPr>
              <w:t>同</w:t>
            </w:r>
            <w:r>
              <w:rPr>
                <w:rFonts w:hint="eastAsia" w:ascii="宋体" w:hAnsi="宋体" w:cs="Arial"/>
                <w:szCs w:val="21"/>
              </w:rPr>
              <w:t>本章</w:t>
            </w:r>
            <w:r>
              <w:rPr>
                <w:rFonts w:hint="eastAsia" w:ascii="宋体" w:hAnsi="宋体"/>
                <w:kern w:val="0"/>
                <w:szCs w:val="21"/>
              </w:rPr>
              <w:t>前附表1.11.3款</w:t>
            </w:r>
          </w:p>
        </w:tc>
      </w:tr>
      <w:tr>
        <w:tblPrEx>
          <w:tblLayout w:type="fixed"/>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ascii="宋体" w:hAnsi="宋体"/>
                <w:szCs w:val="21"/>
              </w:rPr>
              <w:t>2.2.3</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ascii="宋体" w:hAnsi="宋体"/>
                <w:szCs w:val="21"/>
              </w:rPr>
              <w:t>投标人确认收到招标文件澄清的时间</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本工程招标文件的澄清、修改、补充等内容经招标人备案后，投标单位到招标代理公司直接领取疑问并作收到确认。</w:t>
            </w:r>
          </w:p>
        </w:tc>
      </w:tr>
      <w:tr>
        <w:tblPrEx>
          <w:tblLayout w:type="fixed"/>
          <w:tblCellMar>
            <w:top w:w="0" w:type="dxa"/>
            <w:left w:w="108" w:type="dxa"/>
            <w:bottom w:w="0" w:type="dxa"/>
            <w:right w:w="108" w:type="dxa"/>
          </w:tblCellMar>
        </w:tblPrEx>
        <w:trPr>
          <w:trHeight w:val="405" w:hRule="atLeast"/>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ascii="宋体" w:hAnsi="宋体"/>
                <w:szCs w:val="21"/>
              </w:rPr>
              <w:t>2.3.</w:t>
            </w:r>
            <w:r>
              <w:rPr>
                <w:rFonts w:hint="eastAsia" w:ascii="宋体" w:hAnsi="宋体"/>
                <w:szCs w:val="21"/>
              </w:rPr>
              <w:t>1</w:t>
            </w:r>
          </w:p>
        </w:tc>
        <w:tc>
          <w:tcPr>
            <w:tcW w:w="2010"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rPr>
                <w:rFonts w:ascii="宋体" w:hAnsi="宋体" w:cs="Arial"/>
                <w:szCs w:val="21"/>
              </w:rPr>
            </w:pPr>
            <w:r>
              <w:rPr>
                <w:rFonts w:hint="eastAsia" w:ascii="宋体" w:hAnsi="宋体"/>
                <w:szCs w:val="21"/>
              </w:rPr>
              <w:t>招标文件的修改时间</w:t>
            </w:r>
          </w:p>
        </w:tc>
        <w:tc>
          <w:tcPr>
            <w:tcW w:w="6599"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00" w:lineRule="exact"/>
              <w:rPr>
                <w:rFonts w:ascii="宋体" w:hAnsi="宋体" w:cs="Arial"/>
                <w:szCs w:val="21"/>
              </w:rPr>
            </w:pPr>
            <w:r>
              <w:rPr>
                <w:rFonts w:hint="eastAsia" w:ascii="宋体" w:hAnsi="宋体" w:cs="Arial"/>
                <w:szCs w:val="21"/>
              </w:rPr>
              <w:t>同本章前附表2.2.2</w:t>
            </w:r>
          </w:p>
        </w:tc>
      </w:tr>
      <w:tr>
        <w:tblPrEx>
          <w:tblLayout w:type="fixed"/>
          <w:tblCellMar>
            <w:top w:w="0" w:type="dxa"/>
            <w:left w:w="108" w:type="dxa"/>
            <w:bottom w:w="0" w:type="dxa"/>
            <w:right w:w="108" w:type="dxa"/>
          </w:tblCellMar>
        </w:tblPrEx>
        <w:trPr>
          <w:trHeight w:val="405" w:hRule="atLeast"/>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ascii="宋体" w:hAnsi="宋体"/>
                <w:szCs w:val="21"/>
              </w:rPr>
              <w:t>2.3.2</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pacing w:val="-8"/>
                <w:szCs w:val="21"/>
              </w:rPr>
            </w:pPr>
            <w:r>
              <w:rPr>
                <w:rFonts w:ascii="宋体" w:hAnsi="宋体"/>
                <w:spacing w:val="-8"/>
                <w:szCs w:val="21"/>
              </w:rPr>
              <w:t>投标人确认收到招标文件修改的时间</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cs="Arial"/>
                <w:szCs w:val="21"/>
              </w:rPr>
              <w:t>同本章前附表2.2.3</w:t>
            </w:r>
          </w:p>
        </w:tc>
      </w:tr>
      <w:tr>
        <w:tblPrEx>
          <w:tblLayout w:type="fixed"/>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ascii="宋体" w:hAnsi="宋体"/>
                <w:szCs w:val="21"/>
              </w:rPr>
              <w:t>3.1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ascii="宋体" w:hAnsi="宋体"/>
                <w:szCs w:val="21"/>
              </w:rPr>
              <w:t>投标文件</w:t>
            </w:r>
            <w:r>
              <w:rPr>
                <w:rFonts w:hint="eastAsia" w:ascii="宋体" w:hAnsi="宋体"/>
                <w:szCs w:val="21"/>
              </w:rPr>
              <w:t>包括的内容</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商务标：正本一份，副本四份。</w:t>
            </w:r>
          </w:p>
          <w:p>
            <w:pPr>
              <w:snapToGrid w:val="0"/>
              <w:spacing w:line="300" w:lineRule="exact"/>
              <w:rPr>
                <w:rFonts w:ascii="宋体" w:hAnsi="宋体"/>
                <w:szCs w:val="21"/>
              </w:rPr>
            </w:pPr>
            <w:r>
              <w:rPr>
                <w:rFonts w:hint="eastAsia" w:ascii="宋体" w:hAnsi="宋体"/>
                <w:szCs w:val="21"/>
              </w:rPr>
              <w:t>技术资信标：正本一份，副本四份。</w:t>
            </w:r>
          </w:p>
        </w:tc>
      </w:tr>
      <w:tr>
        <w:tblPrEx>
          <w:tblLayout w:type="fixed"/>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ascii="宋体" w:hAnsi="宋体"/>
                <w:szCs w:val="21"/>
              </w:rPr>
              <w:t>3.</w:t>
            </w:r>
            <w:r>
              <w:rPr>
                <w:rFonts w:hint="eastAsia" w:ascii="宋体" w:hAnsi="宋体"/>
                <w:szCs w:val="21"/>
              </w:rPr>
              <w:t>2.2</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是否设置最高投标限价</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Arial"/>
                <w:szCs w:val="21"/>
              </w:rPr>
            </w:pPr>
            <w:r>
              <w:rPr>
                <w:rFonts w:hint="eastAsia" w:ascii="宋体" w:hAnsi="宋体" w:cs="Arial"/>
                <w:szCs w:val="21"/>
              </w:rPr>
              <w:fldChar w:fldCharType="begin"/>
            </w:r>
            <w:r>
              <w:rPr>
                <w:rFonts w:hint="eastAsia" w:ascii="宋体" w:hAnsi="宋体" w:cs="Arial"/>
                <w:szCs w:val="21"/>
              </w:rPr>
              <w:instrText xml:space="preserve"> eq \o\ac(□,√)</w:instrText>
            </w:r>
            <w:r>
              <w:rPr>
                <w:rFonts w:hint="eastAsia" w:ascii="宋体" w:hAnsi="宋体" w:cs="Arial"/>
                <w:szCs w:val="21"/>
              </w:rPr>
              <w:fldChar w:fldCharType="end"/>
            </w:r>
            <w:r>
              <w:rPr>
                <w:rFonts w:hint="eastAsia" w:ascii="宋体" w:hAnsi="宋体" w:cs="Arial"/>
                <w:szCs w:val="21"/>
              </w:rPr>
              <w:t>是，详见评标办法</w:t>
            </w:r>
          </w:p>
        </w:tc>
      </w:tr>
      <w:tr>
        <w:tblPrEx>
          <w:tblLayout w:type="fixed"/>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3.2.7</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rPr>
              <w:t>投标报价其他情况说明</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Arial"/>
                <w:szCs w:val="21"/>
              </w:rPr>
            </w:pPr>
            <w:r>
              <w:rPr>
                <w:rFonts w:hint="eastAsia" w:ascii="宋体" w:hAnsi="宋体"/>
                <w:szCs w:val="21"/>
              </w:rPr>
              <w:t>/</w:t>
            </w:r>
          </w:p>
        </w:tc>
      </w:tr>
      <w:tr>
        <w:tblPrEx>
          <w:tblLayout w:type="fixed"/>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3.3.1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投标有效期</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90日历天</w:t>
            </w:r>
          </w:p>
        </w:tc>
      </w:tr>
      <w:tr>
        <w:tblPrEx>
          <w:tblLayout w:type="fixed"/>
          <w:tblCellMar>
            <w:top w:w="0" w:type="dxa"/>
            <w:left w:w="108" w:type="dxa"/>
            <w:bottom w:w="0" w:type="dxa"/>
            <w:right w:w="108" w:type="dxa"/>
          </w:tblCellMar>
        </w:tblPrEx>
        <w:trPr>
          <w:trHeight w:val="639" w:hRule="atLeast"/>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3.4.1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kern w:val="0"/>
                <w:szCs w:val="21"/>
              </w:rPr>
              <w:t>投标保证金</w:t>
            </w:r>
          </w:p>
        </w:tc>
        <w:tc>
          <w:tcPr>
            <w:tcW w:w="6599" w:type="dxa"/>
            <w:tcBorders>
              <w:top w:val="single" w:color="auto" w:sz="4" w:space="0"/>
              <w:left w:val="single" w:color="auto" w:sz="4" w:space="0"/>
              <w:bottom w:val="single" w:color="auto" w:sz="4" w:space="0"/>
              <w:right w:val="single" w:color="auto" w:sz="4" w:space="0"/>
            </w:tcBorders>
          </w:tcPr>
          <w:p>
            <w:pPr>
              <w:snapToGrid w:val="0"/>
              <w:spacing w:line="300" w:lineRule="exact"/>
              <w:rPr>
                <w:rFonts w:ascii="宋体" w:hAnsi="宋体" w:cs="Arial"/>
                <w:szCs w:val="21"/>
              </w:rPr>
            </w:pPr>
            <w:r>
              <w:rPr>
                <w:rFonts w:hint="eastAsia" w:ascii="宋体" w:hAnsi="宋体"/>
                <w:szCs w:val="21"/>
              </w:rPr>
              <w:t>投标保证金的</w:t>
            </w:r>
            <w:r>
              <w:rPr>
                <w:rFonts w:ascii="宋体" w:hAnsi="宋体"/>
                <w:szCs w:val="21"/>
              </w:rPr>
              <w:t>形式：</w:t>
            </w:r>
            <w:r>
              <w:rPr>
                <w:rFonts w:hint="eastAsia" w:ascii="宋体" w:hAnsi="宋体"/>
                <w:b/>
                <w:szCs w:val="21"/>
              </w:rPr>
              <w:t>本项目不要求投标人提供投标保证金，但不免除投标人相应的赔偿责任</w:t>
            </w:r>
            <w:r>
              <w:rPr>
                <w:rFonts w:hint="eastAsia" w:ascii="宋体" w:hAnsi="宋体"/>
                <w:szCs w:val="21"/>
              </w:rPr>
              <w:t>。</w:t>
            </w:r>
          </w:p>
        </w:tc>
      </w:tr>
      <w:tr>
        <w:tblPrEx>
          <w:tblLayout w:type="fixed"/>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3.6.1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近年财务状况</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ascii="宋体" w:hAnsi="宋体"/>
                <w:szCs w:val="21"/>
              </w:rPr>
              <w:fldChar w:fldCharType="end"/>
            </w:r>
            <w:r>
              <w:rPr>
                <w:rFonts w:hint="eastAsia" w:ascii="宋体" w:hAnsi="宋体"/>
                <w:szCs w:val="21"/>
              </w:rPr>
              <w:t>不要求提供</w:t>
            </w:r>
          </w:p>
        </w:tc>
      </w:tr>
      <w:tr>
        <w:tblPrEx>
          <w:tblLayout w:type="fixed"/>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3.6.2</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近年发生的诉讼及仲裁及不良行为记录情况</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ascii="宋体" w:hAnsi="宋体"/>
                <w:szCs w:val="21"/>
              </w:rPr>
              <w:fldChar w:fldCharType="begin"/>
            </w:r>
            <w:r>
              <w:rPr>
                <w:rFonts w:ascii="宋体" w:hAnsi="宋体"/>
                <w:szCs w:val="21"/>
              </w:rPr>
              <w:instrText xml:space="preserve"> </w:instrText>
            </w:r>
            <w:r>
              <w:rPr>
                <w:rFonts w:hint="eastAsia" w:ascii="宋体" w:hAnsi="宋体"/>
                <w:szCs w:val="21"/>
              </w:rPr>
              <w:instrText xml:space="preserve">eq \o\ac(□,√)</w:instrText>
            </w:r>
            <w:r>
              <w:rPr>
                <w:rFonts w:ascii="宋体" w:hAnsi="宋体"/>
                <w:szCs w:val="21"/>
              </w:rPr>
              <w:fldChar w:fldCharType="end"/>
            </w:r>
            <w:r>
              <w:rPr>
                <w:rFonts w:hint="eastAsia" w:ascii="宋体" w:hAnsi="宋体"/>
                <w:szCs w:val="21"/>
              </w:rPr>
              <w:t>不要求提供</w:t>
            </w:r>
          </w:p>
        </w:tc>
      </w:tr>
      <w:tr>
        <w:tblPrEx>
          <w:tblLayout w:type="fixed"/>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3.7.3</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签字和盖章要求</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Arial"/>
                <w:szCs w:val="21"/>
              </w:rPr>
            </w:pPr>
            <w:r>
              <w:rPr>
                <w:rFonts w:ascii="宋体" w:hAnsi="宋体" w:cs="Arial"/>
                <w:szCs w:val="21"/>
              </w:rPr>
              <w:t>1、</w:t>
            </w:r>
            <w:r>
              <w:rPr>
                <w:rFonts w:hint="eastAsia" w:ascii="宋体" w:hAnsi="宋体" w:cs="Arial"/>
                <w:szCs w:val="21"/>
                <w:u w:val="single"/>
              </w:rPr>
              <w:t>商务标、技术资信标相应地方</w:t>
            </w:r>
            <w:r>
              <w:rPr>
                <w:rFonts w:hint="eastAsia" w:ascii="宋体" w:hAnsi="宋体" w:cs="Arial"/>
                <w:szCs w:val="21"/>
              </w:rPr>
              <w:t>相应地方应加盖单位公章（不得以投标专用章、分公司章等其他形式印章代替,下同）并经单位法定代表人或其委托代理人签字或盖章。</w:t>
            </w:r>
          </w:p>
          <w:p>
            <w:pPr>
              <w:snapToGrid w:val="0"/>
              <w:spacing w:line="300" w:lineRule="exact"/>
              <w:rPr>
                <w:rFonts w:ascii="宋体" w:hAnsi="宋体" w:cs="Arial"/>
                <w:szCs w:val="21"/>
              </w:rPr>
            </w:pPr>
            <w:r>
              <w:rPr>
                <w:rFonts w:hint="eastAsia" w:ascii="宋体" w:hAnsi="宋体" w:cs="Arial"/>
                <w:szCs w:val="21"/>
              </w:rPr>
              <w:t>2、授权委托书应加盖单位公章，法定代表人应签字或盖章，委托代理人应签字或盖章。</w:t>
            </w:r>
          </w:p>
        </w:tc>
      </w:tr>
      <w:tr>
        <w:tblPrEx>
          <w:tblLayout w:type="fixed"/>
          <w:tblCellMar>
            <w:top w:w="0" w:type="dxa"/>
            <w:left w:w="108" w:type="dxa"/>
            <w:bottom w:w="0" w:type="dxa"/>
            <w:right w:w="108" w:type="dxa"/>
          </w:tblCellMar>
        </w:tblPrEx>
        <w:trPr>
          <w:trHeight w:val="421" w:hRule="atLeast"/>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ascii="宋体" w:hAnsi="宋体"/>
                <w:szCs w:val="21"/>
              </w:rPr>
              <w:t>3.7.4</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ascii="宋体" w:hAnsi="宋体"/>
                <w:szCs w:val="21"/>
              </w:rPr>
              <w:t>投标文件份数</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Arial"/>
                <w:szCs w:val="21"/>
              </w:rPr>
            </w:pPr>
            <w:r>
              <w:rPr>
                <w:szCs w:val="21"/>
              </w:rPr>
              <w:t>商务标、技术资信标均</w:t>
            </w:r>
            <w:r>
              <w:rPr>
                <w:rFonts w:hint="eastAsia" w:ascii="宋体" w:hAnsi="宋体" w:cs="Arial"/>
                <w:szCs w:val="21"/>
              </w:rPr>
              <w:t>一式五份，其中一份正本、四份副本；</w:t>
            </w:r>
          </w:p>
        </w:tc>
      </w:tr>
      <w:tr>
        <w:tblPrEx>
          <w:tblLayout w:type="fixed"/>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ascii="宋体" w:hAnsi="宋体"/>
                <w:szCs w:val="21"/>
              </w:rPr>
              <w:t>3.7.5</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ascii="宋体" w:hAnsi="宋体"/>
                <w:szCs w:val="21"/>
              </w:rPr>
              <w:t>装订要求</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s="Arial"/>
                <w:szCs w:val="21"/>
              </w:rPr>
            </w:pPr>
            <w:r>
              <w:rPr>
                <w:rFonts w:hint="eastAsia" w:ascii="宋体" w:hAnsi="宋体" w:cs="Arial"/>
                <w:szCs w:val="21"/>
              </w:rPr>
              <w:t>根据本章</w:t>
            </w:r>
            <w:r>
              <w:rPr>
                <w:rFonts w:ascii="宋体" w:hAnsi="宋体" w:cs="Arial"/>
                <w:szCs w:val="21"/>
              </w:rPr>
              <w:t>第3.1.1项规定的投标文件组成内容，按以下要求装订</w:t>
            </w:r>
            <w:r>
              <w:rPr>
                <w:rFonts w:hint="eastAsia" w:ascii="宋体" w:hAnsi="宋体" w:cs="Arial"/>
                <w:szCs w:val="21"/>
              </w:rPr>
              <w:t>：</w:t>
            </w:r>
          </w:p>
          <w:p>
            <w:pPr>
              <w:tabs>
                <w:tab w:val="left" w:pos="482"/>
                <w:tab w:val="left" w:pos="2183"/>
                <w:tab w:val="left" w:pos="3884"/>
                <w:tab w:val="left" w:pos="5585"/>
              </w:tabs>
              <w:autoSpaceDE w:val="0"/>
              <w:autoSpaceDN w:val="0"/>
              <w:snapToGrid w:val="0"/>
              <w:spacing w:line="280" w:lineRule="exact"/>
              <w:rPr>
                <w:szCs w:val="21"/>
              </w:rPr>
            </w:pPr>
            <w:r>
              <w:rPr>
                <w:rFonts w:ascii="宋体" w:hAnsi="宋体"/>
                <w:position w:val="2"/>
                <w:szCs w:val="21"/>
              </w:rPr>
              <w:fldChar w:fldCharType="begin"/>
            </w:r>
            <w:r>
              <w:rPr>
                <w:rFonts w:ascii="宋体" w:hAnsi="宋体"/>
                <w:position w:val="2"/>
                <w:szCs w:val="21"/>
              </w:rPr>
              <w:instrText xml:space="preserve">eq \o\ac(□,√)</w:instrText>
            </w:r>
            <w:r>
              <w:rPr>
                <w:rFonts w:ascii="宋体" w:hAnsi="宋体"/>
                <w:position w:val="2"/>
                <w:szCs w:val="21"/>
              </w:rPr>
              <w:fldChar w:fldCharType="end"/>
            </w:r>
            <w:r>
              <w:rPr>
                <w:szCs w:val="21"/>
              </w:rPr>
              <w:t>分册装订，分别为：</w:t>
            </w:r>
          </w:p>
          <w:p>
            <w:pPr>
              <w:tabs>
                <w:tab w:val="left" w:pos="482"/>
                <w:tab w:val="left" w:pos="2183"/>
                <w:tab w:val="left" w:pos="3884"/>
                <w:tab w:val="left" w:pos="5585"/>
              </w:tabs>
              <w:snapToGrid w:val="0"/>
              <w:spacing w:line="280" w:lineRule="exact"/>
              <w:rPr>
                <w:szCs w:val="21"/>
              </w:rPr>
            </w:pPr>
            <w:r>
              <w:rPr>
                <w:szCs w:val="21"/>
              </w:rPr>
              <w:t>（1）商务标；</w:t>
            </w:r>
          </w:p>
          <w:p>
            <w:pPr>
              <w:snapToGrid w:val="0"/>
              <w:spacing w:line="300" w:lineRule="exact"/>
              <w:rPr>
                <w:rFonts w:ascii="宋体" w:hAnsi="宋体" w:cs="Arial"/>
                <w:szCs w:val="21"/>
              </w:rPr>
            </w:pPr>
            <w:r>
              <w:rPr>
                <w:szCs w:val="21"/>
              </w:rPr>
              <w:t>（2）技术资信标；</w:t>
            </w:r>
          </w:p>
        </w:tc>
      </w:tr>
      <w:tr>
        <w:tblPrEx>
          <w:tblLayout w:type="fixed"/>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4.1.1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投标文件密封要求</w:t>
            </w:r>
          </w:p>
        </w:tc>
        <w:tc>
          <w:tcPr>
            <w:tcW w:w="6599" w:type="dxa"/>
            <w:tcBorders>
              <w:top w:val="single" w:color="auto" w:sz="4" w:space="0"/>
              <w:left w:val="single" w:color="auto" w:sz="4" w:space="0"/>
              <w:bottom w:val="single" w:color="auto" w:sz="4" w:space="0"/>
              <w:right w:val="single" w:color="auto" w:sz="4" w:space="0"/>
            </w:tcBorders>
            <w:vAlign w:val="center"/>
          </w:tcPr>
          <w:p>
            <w:pPr>
              <w:numPr>
                <w:ilvl w:val="0"/>
                <w:numId w:val="1"/>
              </w:numPr>
              <w:snapToGrid w:val="0"/>
              <w:spacing w:line="300" w:lineRule="exact"/>
              <w:rPr>
                <w:rFonts w:ascii="宋体" w:hAnsi="宋体" w:cs="Arial"/>
                <w:szCs w:val="21"/>
              </w:rPr>
            </w:pPr>
            <w:r>
              <w:rPr>
                <w:rFonts w:hint="eastAsia" w:ascii="宋体" w:hAnsi="宋体" w:cs="Arial"/>
                <w:szCs w:val="21"/>
              </w:rPr>
              <w:t>投标文件的密封：投标文件应妥为密封，贴上封条。在封条及相应地方加盖投标单位公章。封袋、封条由投标人自行制作。</w:t>
            </w:r>
          </w:p>
          <w:p>
            <w:pPr>
              <w:numPr>
                <w:ilvl w:val="0"/>
                <w:numId w:val="1"/>
              </w:numPr>
              <w:snapToGrid w:val="0"/>
              <w:spacing w:line="300" w:lineRule="exact"/>
              <w:rPr>
                <w:rFonts w:ascii="宋体" w:hAnsi="宋体" w:cs="Arial"/>
                <w:szCs w:val="21"/>
              </w:rPr>
            </w:pPr>
            <w:r>
              <w:rPr>
                <w:szCs w:val="21"/>
              </w:rPr>
              <w:t>商务标、技术资信标分别单独密封。标函上应分别写明“商务标”、“技术资信标”等字样。</w:t>
            </w:r>
          </w:p>
        </w:tc>
      </w:tr>
      <w:tr>
        <w:tblPrEx>
          <w:tblLayout w:type="fixed"/>
          <w:tblCellMar>
            <w:top w:w="0" w:type="dxa"/>
            <w:left w:w="108" w:type="dxa"/>
            <w:bottom w:w="0" w:type="dxa"/>
            <w:right w:w="108" w:type="dxa"/>
          </w:tblCellMar>
        </w:tblPrEx>
        <w:trPr>
          <w:trHeight w:val="476" w:hRule="atLeast"/>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4.2.1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投标截止时间</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color w:val="FF0000"/>
                <w:szCs w:val="21"/>
              </w:rPr>
            </w:pPr>
            <w:r>
              <w:rPr>
                <w:rFonts w:hint="eastAsia" w:ascii="宋体" w:hAnsi="宋体"/>
                <w:szCs w:val="21"/>
                <w:highlight w:val="yellow"/>
              </w:rPr>
              <w:t>2019年6月17日14时30</w:t>
            </w:r>
            <w:r>
              <w:rPr>
                <w:rFonts w:hint="eastAsia" w:ascii="宋体" w:hAnsi="宋体"/>
                <w:szCs w:val="21"/>
              </w:rPr>
              <w:t>分</w:t>
            </w:r>
          </w:p>
        </w:tc>
      </w:tr>
      <w:tr>
        <w:tblPrEx>
          <w:tblLayout w:type="fixed"/>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ascii="宋体" w:hAnsi="宋体"/>
                <w:szCs w:val="21"/>
              </w:rPr>
              <w:t>4.2.2</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ascii="宋体" w:hAnsi="宋体"/>
                <w:szCs w:val="21"/>
              </w:rPr>
              <w:t>递交投标文件地点</w:t>
            </w:r>
          </w:p>
        </w:tc>
        <w:tc>
          <w:tcPr>
            <w:tcW w:w="6599"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exact"/>
              <w:textAlignment w:val="baseline"/>
              <w:rPr>
                <w:szCs w:val="21"/>
              </w:rPr>
            </w:pPr>
            <w:r>
              <w:rPr>
                <w:rFonts w:hint="eastAsia"/>
                <w:szCs w:val="21"/>
              </w:rPr>
              <w:t>温州市中医院六虹桥院区综合楼E506室</w:t>
            </w:r>
          </w:p>
        </w:tc>
      </w:tr>
      <w:tr>
        <w:tblPrEx>
          <w:tblLayout w:type="fixed"/>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ascii="宋体" w:hAnsi="宋体"/>
                <w:szCs w:val="21"/>
              </w:rPr>
              <w:t>4.2.3</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ascii="宋体" w:hAnsi="宋体"/>
                <w:szCs w:val="21"/>
              </w:rPr>
              <w:t>是否退还投标文件</w:t>
            </w:r>
          </w:p>
        </w:tc>
        <w:tc>
          <w:tcPr>
            <w:tcW w:w="6599" w:type="dxa"/>
            <w:tcBorders>
              <w:top w:val="single" w:color="auto" w:sz="4" w:space="0"/>
              <w:left w:val="single" w:color="auto" w:sz="4" w:space="0"/>
              <w:bottom w:val="single" w:color="auto" w:sz="4" w:space="0"/>
              <w:right w:val="single" w:color="auto" w:sz="4" w:space="0"/>
            </w:tcBorders>
            <w:vAlign w:val="center"/>
          </w:tcPr>
          <w:p>
            <w:pPr>
              <w:pStyle w:val="15"/>
              <w:topLinePunct/>
              <w:snapToGrid w:val="0"/>
              <w:spacing w:line="300" w:lineRule="exact"/>
              <w:rPr>
                <w:rFonts w:hAnsi="宋体"/>
                <w:szCs w:val="21"/>
              </w:rPr>
            </w:pPr>
            <w:r>
              <w:rPr>
                <w:rFonts w:hint="eastAsia" w:hAnsi="宋体" w:cs="Arial"/>
                <w:sz w:val="21"/>
                <w:szCs w:val="21"/>
              </w:rPr>
              <w:fldChar w:fldCharType="begin"/>
            </w:r>
            <w:r>
              <w:rPr>
                <w:rFonts w:hint="eastAsia" w:hAnsi="宋体" w:cs="Arial"/>
                <w:sz w:val="21"/>
                <w:szCs w:val="21"/>
              </w:rPr>
              <w:instrText xml:space="preserve"> eq \o\ac(□,√)</w:instrText>
            </w:r>
            <w:r>
              <w:rPr>
                <w:rFonts w:hint="eastAsia" w:hAnsi="宋体" w:cs="Arial"/>
                <w:sz w:val="21"/>
                <w:szCs w:val="21"/>
              </w:rPr>
              <w:fldChar w:fldCharType="end"/>
            </w:r>
            <w:r>
              <w:rPr>
                <w:rFonts w:hint="eastAsia" w:hAnsi="宋体"/>
                <w:sz w:val="21"/>
                <w:szCs w:val="21"/>
              </w:rPr>
              <w:t>否，原件资料（如有）除外</w:t>
            </w:r>
          </w:p>
        </w:tc>
      </w:tr>
      <w:tr>
        <w:tblPrEx>
          <w:tblLayout w:type="fixed"/>
          <w:tblCellMar>
            <w:top w:w="0" w:type="dxa"/>
            <w:left w:w="108" w:type="dxa"/>
            <w:bottom w:w="0" w:type="dxa"/>
            <w:right w:w="108" w:type="dxa"/>
          </w:tblCellMar>
        </w:tblPrEx>
        <w:trPr>
          <w:trHeight w:val="149" w:hRule="atLeast"/>
        </w:trPr>
        <w:tc>
          <w:tcPr>
            <w:tcW w:w="1069" w:type="dxa"/>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szCs w:val="21"/>
              </w:rPr>
            </w:pPr>
            <w:r>
              <w:rPr>
                <w:rFonts w:ascii="宋体" w:hAnsi="宋体"/>
                <w:szCs w:val="21"/>
              </w:rPr>
              <w:t>5.1</w:t>
            </w:r>
          </w:p>
        </w:tc>
        <w:tc>
          <w:tcPr>
            <w:tcW w:w="2010" w:type="dxa"/>
            <w:tcBorders>
              <w:top w:val="single" w:color="auto" w:sz="4" w:space="0"/>
              <w:left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开标时间和地点</w:t>
            </w:r>
          </w:p>
        </w:tc>
        <w:tc>
          <w:tcPr>
            <w:tcW w:w="6599" w:type="dxa"/>
            <w:tcBorders>
              <w:top w:val="single" w:color="auto" w:sz="4" w:space="0"/>
              <w:left w:val="single" w:color="auto" w:sz="4" w:space="0"/>
              <w:right w:val="single" w:color="auto" w:sz="4" w:space="0"/>
            </w:tcBorders>
            <w:vAlign w:val="center"/>
          </w:tcPr>
          <w:p>
            <w:pPr>
              <w:snapToGrid w:val="0"/>
              <w:spacing w:line="300" w:lineRule="exact"/>
              <w:rPr>
                <w:rFonts w:ascii="宋体" w:hAnsi="宋体"/>
                <w:szCs w:val="21"/>
              </w:rPr>
            </w:pPr>
            <w:r>
              <w:rPr>
                <w:rFonts w:ascii="宋体" w:hAnsi="宋体"/>
                <w:szCs w:val="21"/>
              </w:rPr>
              <w:t>开标时间</w:t>
            </w:r>
            <w:r>
              <w:rPr>
                <w:rFonts w:hint="eastAsia" w:ascii="宋体" w:hAnsi="宋体"/>
                <w:szCs w:val="21"/>
              </w:rPr>
              <w:t>：</w:t>
            </w:r>
            <w:r>
              <w:rPr>
                <w:rFonts w:ascii="宋体" w:hAnsi="宋体"/>
                <w:szCs w:val="21"/>
              </w:rPr>
              <w:t>同投标截止时间</w:t>
            </w:r>
          </w:p>
          <w:p>
            <w:pPr>
              <w:snapToGrid w:val="0"/>
              <w:spacing w:line="300" w:lineRule="exact"/>
              <w:rPr>
                <w:rFonts w:ascii="宋体" w:hAnsi="宋体"/>
                <w:szCs w:val="21"/>
              </w:rPr>
            </w:pPr>
            <w:r>
              <w:rPr>
                <w:rFonts w:ascii="宋体" w:hAnsi="宋体"/>
                <w:szCs w:val="21"/>
              </w:rPr>
              <w:t>开标地点</w:t>
            </w:r>
            <w:r>
              <w:rPr>
                <w:rFonts w:hint="eastAsia" w:ascii="宋体" w:hAnsi="宋体"/>
                <w:szCs w:val="21"/>
              </w:rPr>
              <w:t>：</w:t>
            </w:r>
            <w:r>
              <w:rPr>
                <w:rFonts w:hint="eastAsia" w:ascii="宋体" w:hAnsi="宋体" w:cs="Arial"/>
                <w:szCs w:val="21"/>
              </w:rPr>
              <w:t>同递交投标文件地点</w:t>
            </w:r>
          </w:p>
        </w:tc>
      </w:tr>
      <w:tr>
        <w:tblPrEx>
          <w:tblLayout w:type="fixed"/>
          <w:tblCellMar>
            <w:top w:w="0" w:type="dxa"/>
            <w:left w:w="108" w:type="dxa"/>
            <w:bottom w:w="0" w:type="dxa"/>
            <w:right w:w="108" w:type="dxa"/>
          </w:tblCellMar>
        </w:tblPrEx>
        <w:trPr>
          <w:trHeight w:val="115" w:hRule="atLeast"/>
        </w:trPr>
        <w:tc>
          <w:tcPr>
            <w:tcW w:w="1069" w:type="dxa"/>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5.2</w:t>
            </w:r>
          </w:p>
        </w:tc>
        <w:tc>
          <w:tcPr>
            <w:tcW w:w="2010" w:type="dxa"/>
            <w:tcBorders>
              <w:top w:val="single" w:color="auto" w:sz="4" w:space="0"/>
              <w:left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开标程序</w:t>
            </w:r>
          </w:p>
        </w:tc>
        <w:tc>
          <w:tcPr>
            <w:tcW w:w="6599" w:type="dxa"/>
            <w:tcBorders>
              <w:top w:val="single" w:color="auto" w:sz="4" w:space="0"/>
              <w:left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一般按逆顺序开启所有投标文件</w:t>
            </w:r>
          </w:p>
        </w:tc>
      </w:tr>
      <w:tr>
        <w:tblPrEx>
          <w:tblLayout w:type="fixed"/>
          <w:tblCellMar>
            <w:top w:w="0" w:type="dxa"/>
            <w:left w:w="108" w:type="dxa"/>
            <w:bottom w:w="0" w:type="dxa"/>
            <w:right w:w="108" w:type="dxa"/>
          </w:tblCellMar>
        </w:tblPrEx>
        <w:trPr>
          <w:trHeight w:val="203" w:hRule="atLeast"/>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ascii="宋体" w:hAnsi="宋体"/>
                <w:szCs w:val="21"/>
              </w:rPr>
              <w:t>6.1.1</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评标委员会的组建</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ascii="宋体" w:hAnsi="宋体"/>
                <w:szCs w:val="21"/>
              </w:rPr>
              <w:t>评标委员会</w:t>
            </w:r>
            <w:r>
              <w:rPr>
                <w:rFonts w:hint="eastAsia" w:ascii="宋体" w:hAnsi="宋体"/>
                <w:szCs w:val="21"/>
              </w:rPr>
              <w:t>构成：</w:t>
            </w:r>
            <w:r>
              <w:rPr>
                <w:rFonts w:hint="eastAsia" w:ascii="宋体" w:hAnsi="宋体"/>
                <w:szCs w:val="21"/>
                <w:u w:val="single"/>
              </w:rPr>
              <w:t>5</w:t>
            </w:r>
            <w:r>
              <w:rPr>
                <w:rFonts w:hint="eastAsia" w:ascii="宋体" w:hAnsi="宋体"/>
                <w:szCs w:val="21"/>
              </w:rPr>
              <w:t>人或以上单数；</w:t>
            </w:r>
          </w:p>
          <w:p>
            <w:pPr>
              <w:snapToGrid w:val="0"/>
              <w:spacing w:line="300" w:lineRule="exact"/>
              <w:rPr>
                <w:rFonts w:ascii="宋体" w:hAnsi="宋体"/>
                <w:szCs w:val="21"/>
              </w:rPr>
            </w:pPr>
            <w:r>
              <w:rPr>
                <w:rFonts w:ascii="宋体" w:hAnsi="宋体"/>
                <w:szCs w:val="21"/>
              </w:rPr>
              <w:t>评标专家确定方式</w:t>
            </w:r>
            <w:r>
              <w:rPr>
                <w:rFonts w:hint="eastAsia" w:ascii="宋体" w:hAnsi="宋体"/>
                <w:szCs w:val="21"/>
              </w:rPr>
              <w:t>：按规定组建。</w:t>
            </w:r>
          </w:p>
        </w:tc>
      </w:tr>
      <w:tr>
        <w:tblPrEx>
          <w:tblLayout w:type="fixed"/>
          <w:tblCellMar>
            <w:top w:w="0" w:type="dxa"/>
            <w:left w:w="108" w:type="dxa"/>
            <w:bottom w:w="0" w:type="dxa"/>
            <w:right w:w="108" w:type="dxa"/>
          </w:tblCellMar>
        </w:tblPrEx>
        <w:trPr>
          <w:trHeight w:val="317" w:hRule="atLeast"/>
        </w:trPr>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6.3</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评标方法</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综合评估法</w:t>
            </w:r>
          </w:p>
        </w:tc>
      </w:tr>
      <w:tr>
        <w:tblPrEx>
          <w:tblLayout w:type="fixed"/>
          <w:tblCellMar>
            <w:top w:w="0" w:type="dxa"/>
            <w:left w:w="108" w:type="dxa"/>
            <w:bottom w:w="0" w:type="dxa"/>
            <w:right w:w="108" w:type="dxa"/>
          </w:tblCellMar>
        </w:tblPrEx>
        <w:trPr>
          <w:trHeight w:val="562" w:hRule="atLeast"/>
        </w:trPr>
        <w:tc>
          <w:tcPr>
            <w:tcW w:w="1069" w:type="dxa"/>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szCs w:val="21"/>
              </w:rPr>
            </w:pPr>
            <w:r>
              <w:rPr>
                <w:rFonts w:ascii="宋体" w:hAnsi="宋体"/>
                <w:szCs w:val="21"/>
              </w:rPr>
              <w:t>7.1</w:t>
            </w:r>
            <w:r>
              <w:rPr>
                <w:rFonts w:hint="eastAsia" w:ascii="宋体" w:hAnsi="宋体"/>
                <w:szCs w:val="21"/>
              </w:rPr>
              <w:t>.1</w:t>
            </w:r>
          </w:p>
        </w:tc>
        <w:tc>
          <w:tcPr>
            <w:tcW w:w="2010" w:type="dxa"/>
            <w:tcBorders>
              <w:top w:val="single" w:color="auto" w:sz="4" w:space="0"/>
              <w:left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是否授权评标委员会确定中标人</w:t>
            </w:r>
          </w:p>
        </w:tc>
        <w:tc>
          <w:tcPr>
            <w:tcW w:w="6599" w:type="dxa"/>
            <w:tcBorders>
              <w:top w:val="single" w:color="auto" w:sz="4" w:space="0"/>
              <w:left w:val="single" w:color="auto" w:sz="4" w:space="0"/>
              <w:right w:val="single" w:color="auto" w:sz="4" w:space="0"/>
            </w:tcBorders>
            <w:vAlign w:val="center"/>
          </w:tcPr>
          <w:p>
            <w:pPr>
              <w:snapToGrid w:val="0"/>
              <w:spacing w:line="300" w:lineRule="exact"/>
              <w:rPr>
                <w:rFonts w:ascii="宋体" w:hAnsi="宋体"/>
                <w:szCs w:val="21"/>
              </w:rPr>
            </w:pPr>
            <w:r>
              <w:fldChar w:fldCharType="begin"/>
            </w:r>
            <w:r>
              <w:instrText xml:space="preserve"> </w:instrText>
            </w:r>
            <w:r>
              <w:rPr>
                <w:rFonts w:hint="eastAsia"/>
              </w:rPr>
              <w:instrText xml:space="preserve">eq \o\ac(□,√)</w:instrText>
            </w:r>
            <w:r>
              <w:fldChar w:fldCharType="end"/>
            </w:r>
            <w:r>
              <w:rPr>
                <w:rFonts w:hint="eastAsia" w:ascii="宋体" w:hAnsi="宋体"/>
                <w:szCs w:val="21"/>
              </w:rPr>
              <w:t>否，</w:t>
            </w:r>
            <w:r>
              <w:rPr>
                <w:rFonts w:ascii="宋体" w:hAnsi="宋体"/>
                <w:szCs w:val="21"/>
              </w:rPr>
              <w:t>推荐的中标候选人数</w:t>
            </w:r>
            <w:r>
              <w:rPr>
                <w:rFonts w:hint="eastAsia" w:ascii="宋体" w:hAnsi="宋体"/>
                <w:szCs w:val="21"/>
              </w:rPr>
              <w:t>：2个</w:t>
            </w:r>
          </w:p>
        </w:tc>
      </w:tr>
      <w:tr>
        <w:tblPrEx>
          <w:tblLayout w:type="fixed"/>
          <w:tblCellMar>
            <w:top w:w="0" w:type="dxa"/>
            <w:left w:w="108" w:type="dxa"/>
            <w:bottom w:w="0" w:type="dxa"/>
            <w:right w:w="108" w:type="dxa"/>
          </w:tblCellMar>
        </w:tblPrEx>
        <w:trPr>
          <w:trHeight w:val="149" w:hRule="atLeast"/>
        </w:trPr>
        <w:tc>
          <w:tcPr>
            <w:tcW w:w="1069" w:type="dxa"/>
            <w:tcBorders>
              <w:top w:val="single" w:color="auto" w:sz="4" w:space="0"/>
              <w:left w:val="single" w:color="auto" w:sz="4" w:space="0"/>
              <w:right w:val="single" w:color="auto" w:sz="4" w:space="0"/>
            </w:tcBorders>
            <w:vAlign w:val="center"/>
          </w:tcPr>
          <w:p>
            <w:pPr>
              <w:snapToGrid w:val="0"/>
              <w:spacing w:line="300" w:lineRule="exact"/>
              <w:jc w:val="center"/>
              <w:rPr>
                <w:rFonts w:ascii="宋体" w:hAnsi="宋体"/>
                <w:szCs w:val="21"/>
              </w:rPr>
            </w:pPr>
            <w:r>
              <w:rPr>
                <w:rFonts w:ascii="宋体" w:hAnsi="宋体"/>
                <w:kern w:val="0"/>
                <w:szCs w:val="21"/>
              </w:rPr>
              <w:t>7.</w:t>
            </w:r>
            <w:r>
              <w:rPr>
                <w:rFonts w:hint="eastAsia" w:ascii="宋体" w:hAnsi="宋体"/>
                <w:kern w:val="0"/>
                <w:szCs w:val="21"/>
              </w:rPr>
              <w:t>4</w:t>
            </w:r>
            <w:r>
              <w:rPr>
                <w:rFonts w:ascii="宋体" w:hAnsi="宋体"/>
                <w:kern w:val="0"/>
                <w:szCs w:val="21"/>
              </w:rPr>
              <w:t>.1</w:t>
            </w:r>
          </w:p>
        </w:tc>
        <w:tc>
          <w:tcPr>
            <w:tcW w:w="2010" w:type="dxa"/>
            <w:tcBorders>
              <w:top w:val="single" w:color="auto" w:sz="4" w:space="0"/>
              <w:left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kern w:val="0"/>
                <w:szCs w:val="21"/>
              </w:rPr>
              <w:t>履约担保</w:t>
            </w:r>
          </w:p>
        </w:tc>
        <w:tc>
          <w:tcPr>
            <w:tcW w:w="6599" w:type="dxa"/>
            <w:tcBorders>
              <w:top w:val="single" w:color="auto" w:sz="4" w:space="0"/>
              <w:left w:val="single" w:color="auto" w:sz="4" w:space="0"/>
              <w:right w:val="single" w:color="auto" w:sz="4" w:space="0"/>
            </w:tcBorders>
            <w:vAlign w:val="center"/>
          </w:tcPr>
          <w:p>
            <w:pPr>
              <w:autoSpaceDE w:val="0"/>
              <w:autoSpaceDN w:val="0"/>
              <w:snapToGrid w:val="0"/>
              <w:spacing w:line="300" w:lineRule="exact"/>
              <w:rPr>
                <w:rFonts w:ascii="宋体" w:hAnsi="宋体"/>
                <w:szCs w:val="21"/>
              </w:rPr>
            </w:pPr>
            <w:r>
              <w:rPr>
                <w:rFonts w:hint="eastAsia" w:ascii="宋体" w:hAnsi="宋体"/>
                <w:kern w:val="0"/>
                <w:szCs w:val="21"/>
              </w:rPr>
              <w:t>履约担保的形式：银行转账或银行保函</w:t>
            </w:r>
          </w:p>
          <w:p>
            <w:pPr>
              <w:snapToGrid w:val="0"/>
              <w:spacing w:line="300" w:lineRule="exact"/>
              <w:rPr>
                <w:rFonts w:ascii="宋体" w:hAnsi="宋体"/>
                <w:szCs w:val="21"/>
              </w:rPr>
            </w:pPr>
            <w:r>
              <w:rPr>
                <w:rFonts w:hint="eastAsia" w:ascii="宋体" w:hAnsi="宋体"/>
                <w:kern w:val="0"/>
                <w:szCs w:val="21"/>
              </w:rPr>
              <w:t>履约担保的金额：</w:t>
            </w:r>
            <w:r>
              <w:rPr>
                <w:rFonts w:hint="eastAsia" w:ascii="宋体" w:hAnsi="宋体"/>
                <w:szCs w:val="21"/>
              </w:rPr>
              <w:t>合同价款的5%</w:t>
            </w:r>
          </w:p>
        </w:tc>
      </w:tr>
      <w:tr>
        <w:tblPrEx>
          <w:tblLayout w:type="fixed"/>
          <w:tblCellMar>
            <w:top w:w="0" w:type="dxa"/>
            <w:left w:w="108" w:type="dxa"/>
            <w:bottom w:w="0" w:type="dxa"/>
            <w:right w:w="108" w:type="dxa"/>
          </w:tblCellMar>
        </w:tblPrEx>
        <w:tc>
          <w:tcPr>
            <w:tcW w:w="106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9.5</w:t>
            </w:r>
          </w:p>
        </w:tc>
        <w:tc>
          <w:tcPr>
            <w:tcW w:w="201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监督部门</w:t>
            </w:r>
          </w:p>
        </w:tc>
        <w:tc>
          <w:tcPr>
            <w:tcW w:w="6599"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rPr>
                <w:rFonts w:ascii="宋体" w:hAnsi="宋体"/>
                <w:szCs w:val="21"/>
              </w:rPr>
            </w:pPr>
            <w:r>
              <w:rPr>
                <w:rFonts w:hint="eastAsia" w:ascii="宋体" w:hAnsi="宋体"/>
                <w:szCs w:val="21"/>
              </w:rPr>
              <w:t>温州市中医院</w:t>
            </w:r>
          </w:p>
        </w:tc>
      </w:tr>
    </w:tbl>
    <w:p>
      <w:pPr>
        <w:snapToGrid w:val="0"/>
        <w:spacing w:line="300" w:lineRule="exact"/>
      </w:pPr>
    </w:p>
    <w:tbl>
      <w:tblPr>
        <w:tblStyle w:val="32"/>
        <w:tblW w:w="9109" w:type="dxa"/>
        <w:tblInd w:w="-72" w:type="dxa"/>
        <w:tblLayout w:type="fixed"/>
        <w:tblCellMar>
          <w:top w:w="0" w:type="dxa"/>
          <w:left w:w="108" w:type="dxa"/>
          <w:bottom w:w="0" w:type="dxa"/>
          <w:right w:w="108" w:type="dxa"/>
        </w:tblCellMar>
      </w:tblPr>
      <w:tblGrid>
        <w:gridCol w:w="871"/>
        <w:gridCol w:w="1830"/>
        <w:gridCol w:w="6408"/>
      </w:tblGrid>
      <w:tr>
        <w:tblPrEx>
          <w:tblLayout w:type="fixed"/>
          <w:tblCellMar>
            <w:top w:w="0" w:type="dxa"/>
            <w:left w:w="108" w:type="dxa"/>
            <w:bottom w:w="0" w:type="dxa"/>
            <w:right w:w="108" w:type="dxa"/>
          </w:tblCellMar>
        </w:tblPrEx>
        <w:trPr>
          <w:trHeight w:val="333" w:hRule="atLeast"/>
          <w:tblHeader/>
        </w:trPr>
        <w:tc>
          <w:tcPr>
            <w:tcW w:w="9109"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b/>
                <w:szCs w:val="21"/>
              </w:rPr>
            </w:pPr>
            <w:r>
              <w:rPr>
                <w:rFonts w:hint="eastAsia" w:ascii="宋体" w:hAnsi="宋体"/>
                <w:b/>
                <w:szCs w:val="21"/>
              </w:rPr>
              <w:t>需要补充的其他内容</w:t>
            </w:r>
          </w:p>
        </w:tc>
      </w:tr>
      <w:tr>
        <w:tblPrEx>
          <w:tblLayout w:type="fixed"/>
          <w:tblCellMar>
            <w:top w:w="0" w:type="dxa"/>
            <w:left w:w="108" w:type="dxa"/>
            <w:bottom w:w="0" w:type="dxa"/>
            <w:right w:w="108" w:type="dxa"/>
          </w:tblCellMar>
        </w:tblPrEx>
        <w:trPr>
          <w:trHeight w:val="472" w:hRule="atLeast"/>
        </w:trPr>
        <w:tc>
          <w:tcPr>
            <w:tcW w:w="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10.1</w:t>
            </w:r>
          </w:p>
        </w:tc>
        <w:tc>
          <w:tcPr>
            <w:tcW w:w="183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Arial"/>
                <w:szCs w:val="21"/>
              </w:rPr>
            </w:pPr>
            <w:r>
              <w:rPr>
                <w:rFonts w:hint="eastAsia" w:ascii="宋体" w:hAnsi="宋体" w:cs="Arial"/>
                <w:szCs w:val="21"/>
              </w:rPr>
              <w:t>财务要求</w:t>
            </w:r>
          </w:p>
        </w:tc>
        <w:tc>
          <w:tcPr>
            <w:tcW w:w="6408" w:type="dxa"/>
            <w:tcBorders>
              <w:top w:val="single" w:color="auto" w:sz="4" w:space="0"/>
              <w:left w:val="single" w:color="auto" w:sz="4" w:space="0"/>
              <w:bottom w:val="single" w:color="auto" w:sz="4" w:space="0"/>
              <w:right w:val="single" w:color="auto" w:sz="4" w:space="0"/>
            </w:tcBorders>
            <w:vAlign w:val="center"/>
          </w:tcPr>
          <w:p>
            <w:pPr>
              <w:pStyle w:val="28"/>
              <w:snapToGrid w:val="0"/>
              <w:spacing w:before="0" w:after="0" w:line="300" w:lineRule="exact"/>
              <w:jc w:val="both"/>
              <w:rPr>
                <w:rFonts w:hint="default" w:cs="Arial"/>
                <w:kern w:val="2"/>
                <w:sz w:val="21"/>
                <w:szCs w:val="21"/>
              </w:rPr>
            </w:pPr>
            <w:r>
              <w:rPr>
                <w:rFonts w:cs="Arial"/>
                <w:kern w:val="2"/>
                <w:sz w:val="21"/>
                <w:szCs w:val="21"/>
              </w:rPr>
              <w:fldChar w:fldCharType="begin"/>
            </w:r>
            <w:r>
              <w:rPr>
                <w:rFonts w:cs="Arial"/>
                <w:kern w:val="2"/>
                <w:sz w:val="21"/>
                <w:szCs w:val="21"/>
              </w:rPr>
              <w:instrText xml:space="preserve"> eq \o\ac(□,√)</w:instrText>
            </w:r>
            <w:r>
              <w:rPr>
                <w:rFonts w:cs="Arial"/>
                <w:kern w:val="2"/>
                <w:sz w:val="21"/>
                <w:szCs w:val="21"/>
              </w:rPr>
              <w:fldChar w:fldCharType="end"/>
            </w:r>
            <w:r>
              <w:rPr>
                <w:rFonts w:cs="Arial"/>
                <w:kern w:val="2"/>
                <w:sz w:val="21"/>
                <w:szCs w:val="21"/>
              </w:rPr>
              <w:t>不要求</w:t>
            </w:r>
          </w:p>
        </w:tc>
      </w:tr>
      <w:tr>
        <w:tblPrEx>
          <w:tblLayout w:type="fixed"/>
          <w:tblCellMar>
            <w:top w:w="0" w:type="dxa"/>
            <w:left w:w="108" w:type="dxa"/>
            <w:bottom w:w="0" w:type="dxa"/>
            <w:right w:w="108" w:type="dxa"/>
          </w:tblCellMar>
        </w:tblPrEx>
        <w:tc>
          <w:tcPr>
            <w:tcW w:w="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szCs w:val="21"/>
              </w:rPr>
              <w:t>10.4</w:t>
            </w:r>
          </w:p>
        </w:tc>
        <w:tc>
          <w:tcPr>
            <w:tcW w:w="183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r>
              <w:rPr>
                <w:rFonts w:hint="eastAsia" w:ascii="宋体" w:hAnsi="宋体" w:cs="Arial"/>
                <w:szCs w:val="21"/>
              </w:rPr>
              <w:t>参加答辩</w:t>
            </w:r>
          </w:p>
        </w:tc>
        <w:tc>
          <w:tcPr>
            <w:tcW w:w="6408" w:type="dxa"/>
            <w:tcBorders>
              <w:top w:val="single" w:color="auto" w:sz="4" w:space="0"/>
              <w:left w:val="single" w:color="auto" w:sz="4" w:space="0"/>
              <w:bottom w:val="single" w:color="auto" w:sz="4" w:space="0"/>
              <w:right w:val="single" w:color="auto" w:sz="4" w:space="0"/>
            </w:tcBorders>
          </w:tcPr>
          <w:p>
            <w:pPr>
              <w:pStyle w:val="28"/>
              <w:snapToGrid w:val="0"/>
              <w:spacing w:before="0" w:after="0" w:line="300" w:lineRule="exact"/>
              <w:jc w:val="both"/>
              <w:rPr>
                <w:rFonts w:hint="default" w:cs="Arial"/>
                <w:kern w:val="2"/>
                <w:sz w:val="21"/>
                <w:szCs w:val="21"/>
              </w:rPr>
            </w:pPr>
            <w:r>
              <w:rPr>
                <w:rFonts w:cs="Arial"/>
                <w:kern w:val="2"/>
                <w:sz w:val="21"/>
                <w:szCs w:val="21"/>
              </w:rPr>
              <w:fldChar w:fldCharType="begin"/>
            </w:r>
            <w:r>
              <w:rPr>
                <w:rFonts w:cs="Arial"/>
                <w:kern w:val="2"/>
                <w:sz w:val="21"/>
                <w:szCs w:val="21"/>
              </w:rPr>
              <w:instrText xml:space="preserve"> eq \o\ac(□,√)</w:instrText>
            </w:r>
            <w:r>
              <w:rPr>
                <w:rFonts w:cs="Arial"/>
                <w:kern w:val="2"/>
                <w:sz w:val="21"/>
                <w:szCs w:val="21"/>
              </w:rPr>
              <w:fldChar w:fldCharType="end"/>
            </w:r>
            <w:r>
              <w:rPr>
                <w:rFonts w:cs="Arial"/>
                <w:kern w:val="2"/>
                <w:sz w:val="21"/>
                <w:szCs w:val="21"/>
              </w:rPr>
              <w:t>不要求</w:t>
            </w:r>
          </w:p>
        </w:tc>
      </w:tr>
      <w:tr>
        <w:tblPrEx>
          <w:tblLayout w:type="fixed"/>
          <w:tblCellMar>
            <w:top w:w="0" w:type="dxa"/>
            <w:left w:w="108" w:type="dxa"/>
            <w:bottom w:w="0" w:type="dxa"/>
            <w:right w:w="108" w:type="dxa"/>
          </w:tblCellMar>
        </w:tblPrEx>
        <w:trPr>
          <w:trHeight w:val="459" w:hRule="atLeast"/>
        </w:trPr>
        <w:tc>
          <w:tcPr>
            <w:tcW w:w="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szCs w:val="21"/>
              </w:rPr>
            </w:pPr>
          </w:p>
        </w:tc>
        <w:tc>
          <w:tcPr>
            <w:tcW w:w="1830"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s="Arial"/>
                <w:szCs w:val="21"/>
              </w:rPr>
            </w:pPr>
            <w:r>
              <w:rPr>
                <w:rFonts w:hint="eastAsia" w:ascii="宋体" w:hAnsi="宋体" w:cs="Arial"/>
                <w:szCs w:val="21"/>
              </w:rPr>
              <w:t>注意事项</w:t>
            </w:r>
          </w:p>
        </w:tc>
        <w:tc>
          <w:tcPr>
            <w:tcW w:w="6408" w:type="dxa"/>
            <w:tcBorders>
              <w:top w:val="single" w:color="auto" w:sz="4" w:space="0"/>
              <w:left w:val="single" w:color="auto" w:sz="4" w:space="0"/>
              <w:bottom w:val="single" w:color="auto" w:sz="4" w:space="0"/>
              <w:right w:val="single" w:color="auto" w:sz="4" w:space="0"/>
            </w:tcBorders>
          </w:tcPr>
          <w:p>
            <w:pPr>
              <w:autoSpaceDE w:val="0"/>
              <w:autoSpaceDN w:val="0"/>
              <w:snapToGrid w:val="0"/>
              <w:spacing w:line="300" w:lineRule="exact"/>
              <w:jc w:val="left"/>
              <w:rPr>
                <w:rFonts w:ascii="宋体" w:hAnsi="宋体"/>
                <w:szCs w:val="21"/>
              </w:rPr>
            </w:pPr>
            <w:r>
              <w:rPr>
                <w:rFonts w:hint="eastAsia" w:ascii="宋体" w:hAnsi="宋体"/>
                <w:b/>
                <w:szCs w:val="21"/>
              </w:rPr>
              <w:t>1、招标代理服务费人民币陆仟元整（¥：6000元），由中标人在领取中标通知书之前支付给招标代理机构，纳入投标总价。</w:t>
            </w:r>
          </w:p>
        </w:tc>
      </w:tr>
    </w:tbl>
    <w:p>
      <w:pPr>
        <w:snapToGrid w:val="0"/>
        <w:spacing w:line="400" w:lineRule="exact"/>
      </w:pPr>
      <w:r>
        <w:br w:type="page"/>
      </w:r>
    </w:p>
    <w:p>
      <w:pPr>
        <w:pStyle w:val="56"/>
        <w:snapToGrid w:val="0"/>
        <w:spacing w:before="0"/>
      </w:pPr>
      <w:bookmarkStart w:id="29" w:name="_Toc144974497"/>
      <w:bookmarkStart w:id="30" w:name="_Toc152045529"/>
      <w:bookmarkStart w:id="31" w:name="_Toc361338236"/>
      <w:bookmarkStart w:id="32" w:name="_Toc152042305"/>
      <w:r>
        <w:rPr>
          <w:rFonts w:hint="eastAsia"/>
        </w:rPr>
        <w:t>1. 总则</w:t>
      </w:r>
      <w:bookmarkEnd w:id="29"/>
      <w:bookmarkEnd w:id="30"/>
      <w:bookmarkEnd w:id="31"/>
      <w:bookmarkEnd w:id="32"/>
    </w:p>
    <w:p>
      <w:pPr>
        <w:pStyle w:val="63"/>
        <w:snapToGrid w:val="0"/>
      </w:pPr>
      <w:bookmarkStart w:id="33" w:name="_Toc144974498"/>
      <w:bookmarkStart w:id="34" w:name="_Toc152042306"/>
      <w:bookmarkStart w:id="35" w:name="_Toc152045530"/>
      <w:bookmarkStart w:id="36" w:name="_Toc361338237"/>
      <w:r>
        <w:rPr>
          <w:rFonts w:hint="eastAsia"/>
        </w:rPr>
        <w:t xml:space="preserve">1.1 </w:t>
      </w:r>
      <w:bookmarkEnd w:id="33"/>
      <w:bookmarkEnd w:id="34"/>
      <w:bookmarkEnd w:id="35"/>
      <w:r>
        <w:rPr>
          <w:rFonts w:hint="eastAsia"/>
        </w:rPr>
        <w:t>概述</w:t>
      </w:r>
      <w:bookmarkEnd w:id="36"/>
    </w:p>
    <w:p>
      <w:pPr>
        <w:snapToGrid w:val="0"/>
        <w:spacing w:line="400" w:lineRule="exact"/>
        <w:ind w:firstLine="420" w:firstLineChars="200"/>
        <w:rPr>
          <w:rFonts w:ascii="宋体" w:hAnsi="宋体"/>
        </w:rPr>
      </w:pPr>
      <w:r>
        <w:rPr>
          <w:rFonts w:hint="eastAsia" w:ascii="宋体" w:hAnsi="宋体"/>
        </w:rPr>
        <w:t>1.1.1根据《中华人民共和国招标投标法》等有关法律、法规和规章的规定，本招标项目已具备招标条件，现对本项目进行招标。</w:t>
      </w:r>
    </w:p>
    <w:p>
      <w:pPr>
        <w:snapToGrid w:val="0"/>
        <w:spacing w:line="400" w:lineRule="exact"/>
        <w:ind w:firstLine="420" w:firstLineChars="200"/>
        <w:rPr>
          <w:rFonts w:ascii="宋体" w:hAnsi="宋体"/>
        </w:rPr>
      </w:pPr>
      <w:r>
        <w:rPr>
          <w:rFonts w:hint="eastAsia" w:ascii="宋体" w:hAnsi="宋体"/>
        </w:rPr>
        <w:t>1.1.2 本招标项目名称：见投标人须知前附表</w:t>
      </w:r>
    </w:p>
    <w:p>
      <w:pPr>
        <w:snapToGrid w:val="0"/>
        <w:spacing w:line="400" w:lineRule="exact"/>
        <w:ind w:firstLine="420" w:firstLineChars="200"/>
        <w:rPr>
          <w:rFonts w:ascii="宋体" w:hAnsi="宋体"/>
        </w:rPr>
      </w:pPr>
      <w:r>
        <w:rPr>
          <w:rFonts w:hint="eastAsia" w:ascii="宋体" w:hAnsi="宋体"/>
        </w:rPr>
        <w:t>1.1.3 本招标项目招标人：见投标人须知前附表。</w:t>
      </w:r>
    </w:p>
    <w:p>
      <w:pPr>
        <w:snapToGrid w:val="0"/>
        <w:spacing w:line="400" w:lineRule="exact"/>
        <w:ind w:firstLine="420" w:firstLineChars="200"/>
        <w:rPr>
          <w:rFonts w:ascii="宋体" w:hAnsi="宋体"/>
        </w:rPr>
      </w:pPr>
      <w:r>
        <w:rPr>
          <w:rFonts w:hint="eastAsia" w:ascii="宋体" w:hAnsi="宋体"/>
        </w:rPr>
        <w:t>1.1.4 本标段招标代理机构：见投标人须知前附表。</w:t>
      </w:r>
    </w:p>
    <w:p>
      <w:pPr>
        <w:snapToGrid w:val="0"/>
        <w:spacing w:line="400" w:lineRule="exact"/>
        <w:ind w:firstLine="420" w:firstLineChars="200"/>
        <w:rPr>
          <w:rFonts w:ascii="宋体" w:hAnsi="宋体"/>
        </w:rPr>
      </w:pPr>
      <w:r>
        <w:rPr>
          <w:rFonts w:hint="eastAsia" w:ascii="宋体" w:hAnsi="宋体"/>
        </w:rPr>
        <w:t>1.1.5 项目概况：见投标人须知前附表。</w:t>
      </w:r>
    </w:p>
    <w:p>
      <w:pPr>
        <w:pStyle w:val="63"/>
        <w:snapToGrid w:val="0"/>
      </w:pPr>
      <w:bookmarkStart w:id="37" w:name="_Toc361338238"/>
      <w:bookmarkStart w:id="38" w:name="_Toc152042307"/>
      <w:bookmarkStart w:id="39" w:name="_Toc152045531"/>
      <w:bookmarkStart w:id="40" w:name="_Toc144974499"/>
      <w:r>
        <w:rPr>
          <w:rFonts w:hint="eastAsia"/>
        </w:rPr>
        <w:t>1.2 资金来源和落实情况</w:t>
      </w:r>
      <w:bookmarkEnd w:id="37"/>
      <w:bookmarkEnd w:id="38"/>
      <w:bookmarkEnd w:id="39"/>
      <w:bookmarkEnd w:id="40"/>
    </w:p>
    <w:p>
      <w:pPr>
        <w:snapToGrid w:val="0"/>
        <w:spacing w:line="400" w:lineRule="exact"/>
        <w:ind w:firstLine="420" w:firstLineChars="200"/>
        <w:rPr>
          <w:rFonts w:ascii="宋体" w:hAnsi="宋体"/>
        </w:rPr>
      </w:pPr>
      <w:r>
        <w:rPr>
          <w:rFonts w:hint="eastAsia" w:ascii="宋体" w:hAnsi="宋体"/>
        </w:rPr>
        <w:t>1.2.1 本招标项目的资金来源：见投标人须知前附表。</w:t>
      </w:r>
    </w:p>
    <w:p>
      <w:pPr>
        <w:snapToGrid w:val="0"/>
        <w:spacing w:line="400" w:lineRule="exact"/>
        <w:ind w:firstLine="420" w:firstLineChars="200"/>
        <w:rPr>
          <w:rFonts w:ascii="宋体" w:hAnsi="宋体"/>
        </w:rPr>
      </w:pPr>
      <w:r>
        <w:rPr>
          <w:rFonts w:hint="eastAsia" w:ascii="宋体" w:hAnsi="宋体"/>
        </w:rPr>
        <w:t>1.2.2 本招标项目的出资比例：见投标人须知前附表。</w:t>
      </w:r>
    </w:p>
    <w:p>
      <w:pPr>
        <w:snapToGrid w:val="0"/>
        <w:spacing w:line="400" w:lineRule="exact"/>
        <w:ind w:firstLine="420" w:firstLineChars="200"/>
        <w:rPr>
          <w:rFonts w:ascii="宋体" w:hAnsi="宋体"/>
        </w:rPr>
      </w:pPr>
      <w:r>
        <w:rPr>
          <w:rFonts w:hint="eastAsia" w:ascii="宋体" w:hAnsi="宋体"/>
        </w:rPr>
        <w:t>1.2.3 本招标项目的资金落实情况：见投标人须知前附表。</w:t>
      </w:r>
    </w:p>
    <w:p>
      <w:pPr>
        <w:pStyle w:val="63"/>
        <w:snapToGrid w:val="0"/>
      </w:pPr>
      <w:bookmarkStart w:id="41" w:name="_Toc144974500"/>
      <w:bookmarkStart w:id="42" w:name="_Toc152042308"/>
      <w:bookmarkStart w:id="43" w:name="_Toc152045532"/>
      <w:bookmarkStart w:id="44" w:name="_Toc361338239"/>
      <w:r>
        <w:rPr>
          <w:rFonts w:hint="eastAsia"/>
        </w:rPr>
        <w:t>1.3服务内容和范围、</w:t>
      </w:r>
      <w:bookmarkEnd w:id="41"/>
      <w:bookmarkEnd w:id="42"/>
      <w:bookmarkEnd w:id="43"/>
      <w:r>
        <w:rPr>
          <w:rFonts w:hint="eastAsia"/>
        </w:rPr>
        <w:t>服务期</w:t>
      </w:r>
      <w:bookmarkEnd w:id="44"/>
    </w:p>
    <w:p>
      <w:pPr>
        <w:snapToGrid w:val="0"/>
        <w:spacing w:line="400" w:lineRule="exact"/>
        <w:ind w:firstLine="420" w:firstLineChars="200"/>
        <w:rPr>
          <w:rFonts w:ascii="宋体" w:hAnsi="宋体"/>
        </w:rPr>
      </w:pPr>
      <w:r>
        <w:rPr>
          <w:rFonts w:hint="eastAsia" w:ascii="宋体" w:hAnsi="宋体"/>
        </w:rPr>
        <w:t>1.3.1 本项目服务内容和范围：见投标人须知前附表。</w:t>
      </w:r>
    </w:p>
    <w:p>
      <w:pPr>
        <w:snapToGrid w:val="0"/>
        <w:spacing w:line="400" w:lineRule="exact"/>
        <w:ind w:firstLine="420" w:firstLineChars="200"/>
        <w:rPr>
          <w:rFonts w:ascii="宋体" w:hAnsi="宋体"/>
        </w:rPr>
      </w:pPr>
      <w:r>
        <w:rPr>
          <w:rFonts w:hint="eastAsia" w:ascii="宋体" w:hAnsi="宋体"/>
        </w:rPr>
        <w:t>1.3.2本项目服务期：见投标人须知前附表。</w:t>
      </w:r>
    </w:p>
    <w:p>
      <w:pPr>
        <w:pStyle w:val="63"/>
        <w:snapToGrid w:val="0"/>
      </w:pPr>
      <w:r>
        <w:rPr>
          <w:rFonts w:hint="eastAsia"/>
        </w:rPr>
        <w:t>1.4 投标人资格要求</w:t>
      </w:r>
    </w:p>
    <w:p>
      <w:pPr>
        <w:snapToGrid w:val="0"/>
        <w:spacing w:line="400" w:lineRule="exact"/>
        <w:ind w:firstLine="420" w:firstLineChars="200"/>
        <w:rPr>
          <w:rFonts w:ascii="宋体" w:hAnsi="宋体"/>
        </w:rPr>
      </w:pPr>
      <w:r>
        <w:rPr>
          <w:rFonts w:hint="eastAsia" w:ascii="宋体" w:hAnsi="宋体"/>
        </w:rPr>
        <w:t>1.4.1本项目对投标人资质、能力和信誉要求</w:t>
      </w:r>
    </w:p>
    <w:p>
      <w:pPr>
        <w:snapToGrid w:val="0"/>
        <w:spacing w:line="400" w:lineRule="exact"/>
        <w:ind w:firstLine="420" w:firstLineChars="200"/>
        <w:rPr>
          <w:rFonts w:ascii="宋体" w:hAnsi="宋体"/>
        </w:rPr>
      </w:pPr>
      <w:r>
        <w:rPr>
          <w:rFonts w:hint="eastAsia" w:ascii="宋体" w:hAnsi="宋体"/>
        </w:rPr>
        <w:t>（1）资格条件：见投标人须知前附表；</w:t>
      </w:r>
    </w:p>
    <w:p>
      <w:pPr>
        <w:snapToGrid w:val="0"/>
        <w:spacing w:line="400" w:lineRule="exact"/>
        <w:ind w:firstLine="420" w:firstLineChars="200"/>
        <w:rPr>
          <w:rFonts w:ascii="宋体" w:hAnsi="宋体"/>
        </w:rPr>
      </w:pPr>
      <w:r>
        <w:rPr>
          <w:rFonts w:hint="eastAsia" w:ascii="宋体" w:hAnsi="宋体"/>
        </w:rPr>
        <w:t>（2）财务要求：见投标人须知前附表；</w:t>
      </w:r>
    </w:p>
    <w:p>
      <w:pPr>
        <w:snapToGrid w:val="0"/>
        <w:spacing w:line="400" w:lineRule="exact"/>
        <w:ind w:firstLine="420" w:firstLineChars="200"/>
        <w:rPr>
          <w:rFonts w:ascii="宋体" w:hAnsi="宋体"/>
        </w:rPr>
      </w:pPr>
      <w:r>
        <w:rPr>
          <w:rFonts w:hint="eastAsia" w:ascii="宋体" w:hAnsi="宋体"/>
        </w:rPr>
        <w:t>（3）业绩要求：见投标人须知前附表；</w:t>
      </w:r>
    </w:p>
    <w:p>
      <w:pPr>
        <w:snapToGrid w:val="0"/>
        <w:spacing w:line="400" w:lineRule="exact"/>
        <w:ind w:firstLine="420" w:firstLineChars="200"/>
        <w:rPr>
          <w:rFonts w:ascii="宋体" w:hAnsi="宋体"/>
        </w:rPr>
      </w:pPr>
      <w:r>
        <w:rPr>
          <w:rFonts w:hint="eastAsia" w:ascii="宋体" w:hAnsi="宋体"/>
        </w:rPr>
        <w:t>（4）信誉要求：见投标人须知前附表；</w:t>
      </w:r>
    </w:p>
    <w:p>
      <w:pPr>
        <w:snapToGrid w:val="0"/>
        <w:spacing w:line="400" w:lineRule="exact"/>
        <w:ind w:firstLine="420" w:firstLineChars="200"/>
        <w:rPr>
          <w:rFonts w:ascii="宋体" w:hAnsi="宋体"/>
        </w:rPr>
      </w:pPr>
      <w:r>
        <w:rPr>
          <w:rFonts w:hint="eastAsia" w:ascii="宋体" w:hAnsi="宋体"/>
        </w:rPr>
        <w:t>（5）其他要求：见投标人须知前附表。</w:t>
      </w:r>
    </w:p>
    <w:p>
      <w:pPr>
        <w:snapToGrid w:val="0"/>
        <w:spacing w:line="400" w:lineRule="exact"/>
        <w:ind w:firstLine="420" w:firstLineChars="200"/>
        <w:rPr>
          <w:rFonts w:ascii="宋体" w:hAnsi="宋体"/>
        </w:rPr>
      </w:pPr>
      <w:bookmarkStart w:id="45" w:name="_Toc361338241"/>
      <w:bookmarkStart w:id="46" w:name="_Toc152042311"/>
      <w:bookmarkStart w:id="47" w:name="_Toc144974503"/>
      <w:bookmarkStart w:id="48" w:name="_Toc152045535"/>
      <w:r>
        <w:rPr>
          <w:rFonts w:ascii="宋体" w:hAnsi="宋体"/>
        </w:rPr>
        <w:t>1.4.</w:t>
      </w:r>
      <w:r>
        <w:rPr>
          <w:rFonts w:hint="eastAsia" w:ascii="宋体" w:hAnsi="宋体"/>
        </w:rPr>
        <w:t xml:space="preserve">2 </w:t>
      </w:r>
      <w:r>
        <w:rPr>
          <w:rFonts w:ascii="宋体" w:hAnsi="宋体"/>
        </w:rPr>
        <w:t>投标人须知</w:t>
      </w:r>
      <w:r>
        <w:rPr>
          <w:rFonts w:hint="eastAsia" w:ascii="宋体" w:hAnsi="宋体"/>
        </w:rPr>
        <w:t>前附表</w:t>
      </w:r>
      <w:r>
        <w:rPr>
          <w:rFonts w:ascii="宋体" w:hAnsi="宋体"/>
        </w:rPr>
        <w:t>规定接受联合体投标的，</w:t>
      </w:r>
      <w:r>
        <w:rPr>
          <w:rFonts w:hint="eastAsia" w:ascii="宋体" w:hAnsi="宋体"/>
        </w:rPr>
        <w:t>除应符合本章第1.4.1项和投标人须知前附表的要求外，</w:t>
      </w:r>
      <w:r>
        <w:rPr>
          <w:rFonts w:ascii="宋体" w:hAnsi="宋体"/>
        </w:rPr>
        <w:t>应当遵守以下规定：</w:t>
      </w:r>
    </w:p>
    <w:p>
      <w:pPr>
        <w:snapToGrid w:val="0"/>
        <w:spacing w:line="400" w:lineRule="exact"/>
        <w:ind w:firstLine="420" w:firstLineChars="200"/>
        <w:rPr>
          <w:rFonts w:ascii="宋体" w:hAnsi="宋体"/>
        </w:rPr>
      </w:pPr>
      <w:r>
        <w:rPr>
          <w:rFonts w:ascii="宋体" w:hAnsi="宋体"/>
        </w:rPr>
        <w:t>（</w:t>
      </w:r>
      <w:r>
        <w:rPr>
          <w:rFonts w:hint="eastAsia" w:ascii="宋体" w:hAnsi="宋体"/>
        </w:rPr>
        <w:t>1</w:t>
      </w:r>
      <w:r>
        <w:rPr>
          <w:rFonts w:ascii="宋体" w:hAnsi="宋体"/>
        </w:rPr>
        <w:t>）联合体各方应当按招标文件提供的格式签订联合体协议书，明确联合体牵头人和各方权利义务；</w:t>
      </w:r>
    </w:p>
    <w:p>
      <w:pPr>
        <w:snapToGrid w:val="0"/>
        <w:spacing w:line="400" w:lineRule="exact"/>
        <w:ind w:firstLine="420" w:firstLineChars="200"/>
        <w:rPr>
          <w:rFonts w:ascii="宋体" w:hAnsi="宋体"/>
        </w:rPr>
      </w:pPr>
      <w:r>
        <w:rPr>
          <w:rFonts w:ascii="宋体" w:hAnsi="宋体"/>
        </w:rPr>
        <w:t>（2）联合体各方不得再以自己名义单独或参加其他联合体在</w:t>
      </w:r>
      <w:r>
        <w:rPr>
          <w:rFonts w:hint="eastAsia" w:ascii="宋体" w:hAnsi="宋体"/>
        </w:rPr>
        <w:t>本项目</w:t>
      </w:r>
      <w:r>
        <w:rPr>
          <w:rFonts w:ascii="宋体" w:hAnsi="宋体"/>
        </w:rPr>
        <w:t>中投标</w:t>
      </w:r>
      <w:r>
        <w:rPr>
          <w:rFonts w:hint="eastAsia" w:ascii="宋体" w:hAnsi="宋体"/>
        </w:rPr>
        <w:t>。</w:t>
      </w:r>
    </w:p>
    <w:p>
      <w:pPr>
        <w:snapToGrid w:val="0"/>
        <w:spacing w:line="400" w:lineRule="exact"/>
        <w:ind w:firstLine="420" w:firstLineChars="200"/>
        <w:rPr>
          <w:rFonts w:ascii="宋体" w:hAnsi="宋体"/>
        </w:rPr>
      </w:pPr>
      <w:r>
        <w:rPr>
          <w:rFonts w:hint="eastAsia" w:ascii="宋体" w:hAnsi="宋体"/>
        </w:rPr>
        <w:t>（3）联合体成员共同承担同一专业工程检测与相关服务的，</w:t>
      </w:r>
      <w:r>
        <w:rPr>
          <w:rFonts w:ascii="宋体" w:hAnsi="宋体"/>
        </w:rPr>
        <w:t>按照资质等级较低的单位确定资质等级</w:t>
      </w:r>
      <w:r>
        <w:rPr>
          <w:rFonts w:hint="eastAsia" w:ascii="宋体" w:hAnsi="宋体"/>
        </w:rPr>
        <w:t>。联合体成员中不同成员分别承担不同专业工程的检测与相关服务的，以联合体成员各自的专业资质和等级认定为联合体投标人的资质和等级。</w:t>
      </w:r>
    </w:p>
    <w:p>
      <w:pPr>
        <w:snapToGrid w:val="0"/>
        <w:spacing w:line="400" w:lineRule="exact"/>
        <w:ind w:firstLine="420" w:firstLineChars="200"/>
        <w:rPr>
          <w:rFonts w:ascii="宋体" w:hAnsi="宋体"/>
        </w:rPr>
      </w:pPr>
      <w:r>
        <w:rPr>
          <w:rFonts w:ascii="宋体" w:hAnsi="宋体"/>
        </w:rPr>
        <w:t>1.4.</w:t>
      </w:r>
      <w:r>
        <w:rPr>
          <w:rFonts w:hint="eastAsia" w:ascii="宋体" w:hAnsi="宋体"/>
        </w:rPr>
        <w:t xml:space="preserve">3 </w:t>
      </w:r>
      <w:r>
        <w:rPr>
          <w:rFonts w:ascii="宋体" w:hAnsi="宋体"/>
        </w:rPr>
        <w:t>投标人不得存在下列情形之一：</w:t>
      </w:r>
    </w:p>
    <w:p>
      <w:pPr>
        <w:snapToGrid w:val="0"/>
        <w:spacing w:line="400" w:lineRule="exact"/>
        <w:ind w:firstLine="420" w:firstLineChars="200"/>
        <w:rPr>
          <w:rFonts w:ascii="宋体" w:hAnsi="宋体"/>
        </w:rPr>
      </w:pPr>
      <w:r>
        <w:rPr>
          <w:rFonts w:ascii="宋体" w:hAnsi="宋体"/>
        </w:rPr>
        <w:t>（1）为招标人不具有独立法人资格的附属机构（单位）；</w:t>
      </w:r>
    </w:p>
    <w:p>
      <w:pPr>
        <w:snapToGrid w:val="0"/>
        <w:spacing w:line="400" w:lineRule="exact"/>
        <w:ind w:firstLine="420" w:firstLineChars="200"/>
        <w:rPr>
          <w:rFonts w:ascii="宋体" w:hAnsi="宋体"/>
        </w:rPr>
      </w:pPr>
      <w:r>
        <w:rPr>
          <w:rFonts w:ascii="宋体" w:hAnsi="宋体"/>
        </w:rPr>
        <w:t>（2）为</w:t>
      </w:r>
      <w:r>
        <w:rPr>
          <w:rFonts w:hint="eastAsia" w:ascii="宋体" w:hAnsi="宋体"/>
        </w:rPr>
        <w:t>本项目的勘察设计单位的；</w:t>
      </w:r>
    </w:p>
    <w:p>
      <w:pPr>
        <w:snapToGrid w:val="0"/>
        <w:spacing w:line="400" w:lineRule="exact"/>
        <w:ind w:firstLine="420" w:firstLineChars="200"/>
        <w:rPr>
          <w:rFonts w:ascii="宋体" w:hAnsi="宋体"/>
        </w:rPr>
      </w:pPr>
      <w:r>
        <w:rPr>
          <w:rFonts w:hint="eastAsia" w:ascii="宋体" w:hAnsi="宋体"/>
        </w:rPr>
        <w:t>（3）为本项目的代建单位的</w:t>
      </w:r>
      <w:r>
        <w:rPr>
          <w:rFonts w:ascii="宋体" w:hAnsi="宋体"/>
        </w:rPr>
        <w:t>；</w:t>
      </w:r>
    </w:p>
    <w:p>
      <w:pPr>
        <w:snapToGrid w:val="0"/>
        <w:spacing w:line="400" w:lineRule="exact"/>
        <w:ind w:firstLine="420" w:firstLineChars="200"/>
        <w:rPr>
          <w:rFonts w:ascii="宋体" w:hAnsi="宋体"/>
        </w:rPr>
      </w:pPr>
      <w:r>
        <w:rPr>
          <w:rFonts w:ascii="宋体" w:hAnsi="宋体"/>
        </w:rPr>
        <w:t>（</w:t>
      </w:r>
      <w:r>
        <w:rPr>
          <w:rFonts w:hint="eastAsia" w:ascii="宋体" w:hAnsi="宋体"/>
        </w:rPr>
        <w:t>4</w:t>
      </w:r>
      <w:r>
        <w:rPr>
          <w:rFonts w:ascii="宋体" w:hAnsi="宋体"/>
        </w:rPr>
        <w:t>）为本</w:t>
      </w:r>
      <w:r>
        <w:rPr>
          <w:rFonts w:hint="eastAsia" w:ascii="宋体" w:hAnsi="宋体"/>
        </w:rPr>
        <w:t>项目</w:t>
      </w:r>
      <w:r>
        <w:rPr>
          <w:rFonts w:ascii="宋体" w:hAnsi="宋体"/>
        </w:rPr>
        <w:t>的</w:t>
      </w:r>
      <w:r>
        <w:rPr>
          <w:rFonts w:hint="eastAsia" w:ascii="宋体" w:hAnsi="宋体"/>
        </w:rPr>
        <w:t>施工承包单位或</w:t>
      </w:r>
      <w:r>
        <w:rPr>
          <w:rFonts w:hint="eastAsia"/>
        </w:rPr>
        <w:t>建筑材料、建筑构配件和设备供应单位</w:t>
      </w:r>
      <w:r>
        <w:rPr>
          <w:rFonts w:ascii="宋体" w:hAnsi="宋体"/>
        </w:rPr>
        <w:t>；</w:t>
      </w:r>
    </w:p>
    <w:p>
      <w:pPr>
        <w:snapToGrid w:val="0"/>
        <w:spacing w:line="400" w:lineRule="exact"/>
        <w:ind w:firstLine="420" w:firstLineChars="200"/>
        <w:rPr>
          <w:rFonts w:ascii="宋体" w:hAnsi="宋体"/>
        </w:rPr>
      </w:pPr>
      <w:r>
        <w:rPr>
          <w:rFonts w:ascii="宋体" w:hAnsi="宋体"/>
        </w:rPr>
        <w:t>（</w:t>
      </w:r>
      <w:r>
        <w:rPr>
          <w:rFonts w:hint="eastAsia" w:ascii="宋体" w:hAnsi="宋体"/>
        </w:rPr>
        <w:t>5</w:t>
      </w:r>
      <w:r>
        <w:rPr>
          <w:rFonts w:ascii="宋体" w:hAnsi="宋体"/>
        </w:rPr>
        <w:t>）为本</w:t>
      </w:r>
      <w:r>
        <w:rPr>
          <w:rFonts w:hint="eastAsia" w:ascii="宋体" w:hAnsi="宋体"/>
        </w:rPr>
        <w:t>项目检测</w:t>
      </w:r>
      <w:r>
        <w:rPr>
          <w:rFonts w:ascii="宋体" w:hAnsi="宋体"/>
        </w:rPr>
        <w:t>提供招标代理服务的；</w:t>
      </w:r>
    </w:p>
    <w:p>
      <w:pPr>
        <w:snapToGrid w:val="0"/>
        <w:spacing w:line="400" w:lineRule="exact"/>
        <w:ind w:firstLine="420" w:firstLineChars="200"/>
        <w:rPr>
          <w:rFonts w:ascii="宋体" w:hAnsi="宋体"/>
        </w:rPr>
      </w:pPr>
      <w:r>
        <w:rPr>
          <w:rFonts w:ascii="宋体" w:hAnsi="宋体"/>
        </w:rPr>
        <w:t>（</w:t>
      </w:r>
      <w:r>
        <w:rPr>
          <w:rFonts w:hint="eastAsia" w:ascii="宋体" w:hAnsi="宋体"/>
        </w:rPr>
        <w:t>6</w:t>
      </w:r>
      <w:r>
        <w:rPr>
          <w:rFonts w:ascii="宋体" w:hAnsi="宋体"/>
        </w:rPr>
        <w:t>）与</w:t>
      </w:r>
      <w:r>
        <w:rPr>
          <w:rFonts w:hint="eastAsia" w:ascii="宋体" w:hAnsi="宋体"/>
        </w:rPr>
        <w:t>上述（2）～（5）单位</w:t>
      </w:r>
      <w:r>
        <w:rPr>
          <w:rFonts w:ascii="宋体" w:hAnsi="宋体"/>
        </w:rPr>
        <w:t>同为一个法定代表人的</w:t>
      </w:r>
      <w:r>
        <w:rPr>
          <w:rFonts w:hint="eastAsia" w:ascii="宋体" w:hAnsi="宋体"/>
        </w:rPr>
        <w:t>、</w:t>
      </w:r>
      <w:r>
        <w:rPr>
          <w:rFonts w:ascii="宋体" w:hAnsi="宋体"/>
        </w:rPr>
        <w:t>相互控股或参股的</w:t>
      </w:r>
      <w:r>
        <w:rPr>
          <w:rFonts w:hint="eastAsia" w:ascii="宋体" w:hAnsi="宋体"/>
        </w:rPr>
        <w:t>、</w:t>
      </w:r>
      <w:r>
        <w:rPr>
          <w:rFonts w:ascii="宋体" w:hAnsi="宋体"/>
        </w:rPr>
        <w:t>相互任职或工作的；</w:t>
      </w:r>
    </w:p>
    <w:p>
      <w:pPr>
        <w:snapToGrid w:val="0"/>
        <w:spacing w:line="400" w:lineRule="exact"/>
        <w:ind w:firstLine="420" w:firstLineChars="200"/>
        <w:rPr>
          <w:rFonts w:ascii="宋体" w:hAnsi="宋体"/>
        </w:rPr>
      </w:pPr>
      <w:r>
        <w:rPr>
          <w:rFonts w:hint="eastAsia" w:ascii="宋体" w:hAnsi="宋体"/>
        </w:rPr>
        <w:t>（7）</w:t>
      </w:r>
      <w:r>
        <w:rPr>
          <w:rFonts w:ascii="宋体" w:hAnsi="宋体"/>
        </w:rPr>
        <w:t>与招标人存在利害关系</w:t>
      </w:r>
      <w:r>
        <w:rPr>
          <w:rFonts w:hint="eastAsia" w:ascii="宋体" w:hAnsi="宋体"/>
        </w:rPr>
        <w:t>可能</w:t>
      </w:r>
      <w:r>
        <w:rPr>
          <w:rFonts w:ascii="宋体" w:hAnsi="宋体"/>
        </w:rPr>
        <w:t>影响招标公正性的</w:t>
      </w:r>
      <w:r>
        <w:rPr>
          <w:rFonts w:hint="eastAsia" w:ascii="宋体" w:hAnsi="宋体"/>
        </w:rPr>
        <w:t>；</w:t>
      </w:r>
    </w:p>
    <w:p>
      <w:pPr>
        <w:snapToGrid w:val="0"/>
        <w:spacing w:line="400" w:lineRule="exact"/>
        <w:ind w:firstLine="420" w:firstLineChars="200"/>
        <w:rPr>
          <w:rFonts w:ascii="宋体" w:hAnsi="宋体"/>
        </w:rPr>
      </w:pPr>
      <w:r>
        <w:rPr>
          <w:rFonts w:hint="eastAsia" w:ascii="宋体" w:hAnsi="宋体"/>
        </w:rPr>
        <w:t>（8）与本项目其他投标人的单位负责人为同一人或者存在控股、管理关系；</w:t>
      </w:r>
    </w:p>
    <w:p>
      <w:pPr>
        <w:snapToGrid w:val="0"/>
        <w:spacing w:line="400" w:lineRule="exact"/>
        <w:ind w:firstLine="420" w:firstLineChars="200"/>
        <w:rPr>
          <w:rFonts w:ascii="宋体" w:hAnsi="宋体"/>
        </w:rPr>
      </w:pPr>
      <w:r>
        <w:rPr>
          <w:rFonts w:ascii="宋体" w:hAnsi="宋体"/>
        </w:rPr>
        <w:t>（</w:t>
      </w:r>
      <w:r>
        <w:rPr>
          <w:rFonts w:hint="eastAsia" w:ascii="宋体" w:hAnsi="宋体"/>
        </w:rPr>
        <w:t>9</w:t>
      </w:r>
      <w:r>
        <w:rPr>
          <w:rFonts w:ascii="宋体" w:hAnsi="宋体"/>
        </w:rPr>
        <w:t>）被责令停业的；</w:t>
      </w:r>
    </w:p>
    <w:p>
      <w:pPr>
        <w:snapToGrid w:val="0"/>
        <w:spacing w:line="400" w:lineRule="exact"/>
        <w:ind w:firstLine="420" w:firstLineChars="200"/>
        <w:rPr>
          <w:rFonts w:ascii="宋体" w:hAnsi="宋体"/>
        </w:rPr>
      </w:pPr>
      <w:r>
        <w:rPr>
          <w:rFonts w:ascii="宋体" w:hAnsi="宋体"/>
        </w:rPr>
        <w:t>（</w:t>
      </w:r>
      <w:r>
        <w:rPr>
          <w:rFonts w:hint="eastAsia" w:ascii="宋体" w:hAnsi="宋体"/>
        </w:rPr>
        <w:t>10</w:t>
      </w:r>
      <w:r>
        <w:rPr>
          <w:rFonts w:ascii="宋体" w:hAnsi="宋体"/>
        </w:rPr>
        <w:t>）被暂停或取消投标资格的；</w:t>
      </w:r>
    </w:p>
    <w:p>
      <w:pPr>
        <w:snapToGrid w:val="0"/>
        <w:spacing w:line="400" w:lineRule="exact"/>
        <w:ind w:firstLine="420" w:firstLineChars="200"/>
        <w:rPr>
          <w:rFonts w:hAnsi="宋体"/>
          <w:szCs w:val="21"/>
        </w:rPr>
      </w:pPr>
      <w:r>
        <w:rPr>
          <w:rFonts w:ascii="宋体" w:hAnsi="宋体"/>
        </w:rPr>
        <w:t>（1</w:t>
      </w:r>
      <w:r>
        <w:rPr>
          <w:rFonts w:hint="eastAsia" w:ascii="宋体" w:hAnsi="宋体"/>
        </w:rPr>
        <w:t>1</w:t>
      </w:r>
      <w:r>
        <w:rPr>
          <w:rFonts w:ascii="宋体" w:hAnsi="宋体"/>
        </w:rPr>
        <w:t>）财产被接管或冻结的</w:t>
      </w:r>
      <w:r>
        <w:rPr>
          <w:rFonts w:hint="eastAsia" w:hAnsi="宋体"/>
          <w:szCs w:val="21"/>
        </w:rPr>
        <w:t>。</w:t>
      </w:r>
    </w:p>
    <w:p>
      <w:pPr>
        <w:snapToGrid w:val="0"/>
        <w:spacing w:line="400" w:lineRule="exact"/>
        <w:ind w:firstLine="420" w:firstLineChars="200"/>
        <w:rPr>
          <w:rFonts w:ascii="宋体" w:hAnsi="宋体"/>
        </w:rPr>
      </w:pPr>
      <w:r>
        <w:rPr>
          <w:rFonts w:hint="eastAsia" w:ascii="宋体" w:hAnsi="宋体"/>
        </w:rPr>
        <w:t>（12）被同一家公司控股且有参股关系的，参加同一标段或者未划分标段的同一招标项目投标的。</w:t>
      </w:r>
    </w:p>
    <w:p>
      <w:pPr>
        <w:snapToGrid w:val="0"/>
        <w:spacing w:line="400" w:lineRule="exact"/>
        <w:ind w:firstLine="420" w:firstLineChars="200"/>
        <w:rPr>
          <w:rFonts w:ascii="宋体" w:hAnsi="宋体"/>
        </w:rPr>
      </w:pPr>
      <w:r>
        <w:rPr>
          <w:rFonts w:hint="eastAsia" w:ascii="宋体" w:hAnsi="宋体"/>
        </w:rPr>
        <w:t>（13）被各级人民法院（http://zxgk.court.gov.cn/zhixing/）列入失信被执行人（法人或其他组织）名单（已执行完结的除外，以提供法院结案的有关法律文书为准）；</w:t>
      </w:r>
    </w:p>
    <w:p>
      <w:pPr>
        <w:snapToGrid w:val="0"/>
        <w:spacing w:line="400" w:lineRule="exact"/>
        <w:ind w:firstLine="420" w:firstLineChars="200"/>
        <w:rPr>
          <w:rFonts w:ascii="宋体" w:hAnsi="宋体"/>
        </w:rPr>
      </w:pPr>
      <w:r>
        <w:rPr>
          <w:rFonts w:hint="eastAsia" w:ascii="宋体" w:hAnsi="宋体"/>
        </w:rPr>
        <w:t>（14）在近三年内投标人或其法定代表人有行贿犯罪行为的（以中国裁判文书网的查询结果为准）；</w:t>
      </w:r>
    </w:p>
    <w:p>
      <w:pPr>
        <w:snapToGrid w:val="0"/>
        <w:spacing w:line="400" w:lineRule="exact"/>
        <w:ind w:firstLine="420" w:firstLineChars="200"/>
        <w:rPr>
          <w:rFonts w:ascii="宋体" w:hAnsi="宋体"/>
        </w:rPr>
      </w:pPr>
      <w:r>
        <w:rPr>
          <w:rFonts w:hint="eastAsia" w:ascii="宋体" w:hAnsi="宋体"/>
        </w:rPr>
        <w:t>备注：1、投标人须知第1.4.3项中第（10）、（11）、（12）条款规定的情形，以相关行业主管部门的行政处罚决定或司法机关出具的有关法律文书为准；</w:t>
      </w:r>
    </w:p>
    <w:p>
      <w:pPr>
        <w:snapToGrid w:val="0"/>
        <w:spacing w:line="400" w:lineRule="exact"/>
        <w:ind w:firstLine="420" w:firstLineChars="200"/>
        <w:rPr>
          <w:rFonts w:ascii="宋体" w:hAnsi="宋体"/>
        </w:rPr>
      </w:pPr>
      <w:r>
        <w:rPr>
          <w:rFonts w:hint="eastAsia" w:ascii="宋体" w:hAnsi="宋体"/>
        </w:rPr>
        <w:t>2、投标人须知第1.4.3项中第（13）、（14）条款规定的情形，仅指“投标人”，不包括投标人分公司、办事处及其他分支机构。</w:t>
      </w:r>
    </w:p>
    <w:p>
      <w:pPr>
        <w:pStyle w:val="63"/>
        <w:snapToGrid w:val="0"/>
      </w:pPr>
      <w:r>
        <w:rPr>
          <w:rFonts w:hint="eastAsia"/>
        </w:rPr>
        <w:t>1.5 费用承担</w:t>
      </w:r>
      <w:bookmarkEnd w:id="45"/>
      <w:bookmarkEnd w:id="46"/>
      <w:bookmarkEnd w:id="47"/>
      <w:bookmarkEnd w:id="48"/>
    </w:p>
    <w:p>
      <w:pPr>
        <w:snapToGrid w:val="0"/>
        <w:spacing w:line="400" w:lineRule="exact"/>
        <w:ind w:firstLine="420" w:firstLineChars="200"/>
      </w:pPr>
      <w:r>
        <w:rPr>
          <w:rFonts w:hint="eastAsia"/>
        </w:rPr>
        <w:t>投标人准备和参加投标活动发生的费用自理。</w:t>
      </w:r>
    </w:p>
    <w:p>
      <w:pPr>
        <w:pStyle w:val="63"/>
        <w:snapToGrid w:val="0"/>
      </w:pPr>
      <w:bookmarkStart w:id="49" w:name="_Toc152042312"/>
      <w:bookmarkStart w:id="50" w:name="_Toc144974504"/>
      <w:bookmarkStart w:id="51" w:name="_Toc361338242"/>
      <w:bookmarkStart w:id="52" w:name="_Toc152045536"/>
      <w:r>
        <w:rPr>
          <w:rFonts w:hint="eastAsia"/>
        </w:rPr>
        <w:t>1.6 保密</w:t>
      </w:r>
      <w:bookmarkEnd w:id="49"/>
      <w:bookmarkEnd w:id="50"/>
      <w:bookmarkEnd w:id="51"/>
      <w:bookmarkEnd w:id="52"/>
    </w:p>
    <w:p>
      <w:pPr>
        <w:snapToGrid w:val="0"/>
        <w:spacing w:line="400" w:lineRule="exact"/>
        <w:ind w:firstLine="420" w:firstLineChars="200"/>
      </w:pPr>
      <w:r>
        <w:rPr>
          <w:rFonts w:hint="eastAsia"/>
        </w:rPr>
        <w:t xml:space="preserve">参与招标投标活动的各方应对招标文件和投标文件中的商业和技术等秘密保密，违者应对由此造成的后果承担法律责任。 </w:t>
      </w:r>
    </w:p>
    <w:p>
      <w:pPr>
        <w:pStyle w:val="63"/>
        <w:snapToGrid w:val="0"/>
      </w:pPr>
      <w:bookmarkStart w:id="53" w:name="_Toc144974505"/>
      <w:bookmarkStart w:id="54" w:name="_Toc152042313"/>
      <w:bookmarkStart w:id="55" w:name="_Toc152045537"/>
      <w:bookmarkStart w:id="56" w:name="_Toc361338243"/>
      <w:r>
        <w:rPr>
          <w:rFonts w:hint="eastAsia"/>
        </w:rPr>
        <w:t>1.7 语言</w:t>
      </w:r>
      <w:bookmarkEnd w:id="53"/>
      <w:r>
        <w:rPr>
          <w:rFonts w:hint="eastAsia"/>
        </w:rPr>
        <w:t>文字</w:t>
      </w:r>
      <w:bookmarkEnd w:id="54"/>
      <w:bookmarkEnd w:id="55"/>
      <w:bookmarkEnd w:id="56"/>
    </w:p>
    <w:p>
      <w:pPr>
        <w:snapToGrid w:val="0"/>
        <w:spacing w:line="400" w:lineRule="exact"/>
        <w:ind w:firstLine="420" w:firstLineChars="200"/>
      </w:pPr>
      <w:r>
        <w:rPr>
          <w:rFonts w:hint="eastAsia"/>
        </w:rPr>
        <w:t>除专用术语外，与招标投标有关的语言均使用中文。必要时专用术语应附有中文注释。</w:t>
      </w:r>
    </w:p>
    <w:p>
      <w:pPr>
        <w:pStyle w:val="63"/>
        <w:snapToGrid w:val="0"/>
      </w:pPr>
      <w:bookmarkStart w:id="57" w:name="_Toc152045538"/>
      <w:bookmarkStart w:id="58" w:name="_Toc144974506"/>
      <w:bookmarkStart w:id="59" w:name="_Toc361338244"/>
      <w:bookmarkStart w:id="60" w:name="_Toc152042314"/>
      <w:r>
        <w:rPr>
          <w:rFonts w:hint="eastAsia"/>
        </w:rPr>
        <w:t>1.8 计量单位</w:t>
      </w:r>
      <w:bookmarkEnd w:id="57"/>
      <w:bookmarkEnd w:id="58"/>
      <w:bookmarkEnd w:id="59"/>
      <w:bookmarkEnd w:id="60"/>
    </w:p>
    <w:p>
      <w:pPr>
        <w:snapToGrid w:val="0"/>
        <w:spacing w:line="400" w:lineRule="exact"/>
        <w:ind w:firstLine="420" w:firstLineChars="200"/>
      </w:pPr>
      <w:r>
        <w:rPr>
          <w:rFonts w:hint="eastAsia"/>
        </w:rPr>
        <w:t>所有计量均采用中华人民共和国法定计量单位。</w:t>
      </w:r>
    </w:p>
    <w:p>
      <w:pPr>
        <w:pStyle w:val="63"/>
        <w:snapToGrid w:val="0"/>
      </w:pPr>
      <w:bookmarkStart w:id="61" w:name="_Toc361338245"/>
      <w:r>
        <w:rPr>
          <w:rFonts w:hint="eastAsia"/>
        </w:rPr>
        <w:t>1.9 计价货币</w:t>
      </w:r>
      <w:bookmarkEnd w:id="61"/>
    </w:p>
    <w:p>
      <w:pPr>
        <w:snapToGrid w:val="0"/>
        <w:spacing w:line="400" w:lineRule="exact"/>
        <w:ind w:firstLine="480"/>
      </w:pPr>
      <w:bookmarkStart w:id="62" w:name="_Toc361281490"/>
      <w:r>
        <w:rPr>
          <w:rFonts w:hint="eastAsia"/>
        </w:rPr>
        <w:t>本标段招标投标涉及计价货币的，均为人民币。</w:t>
      </w:r>
      <w:bookmarkEnd w:id="62"/>
    </w:p>
    <w:p>
      <w:pPr>
        <w:pStyle w:val="63"/>
        <w:snapToGrid w:val="0"/>
      </w:pPr>
      <w:bookmarkStart w:id="63" w:name="_Toc144974507"/>
      <w:bookmarkStart w:id="64" w:name="_Toc361338246"/>
      <w:bookmarkStart w:id="65" w:name="_Toc152042315"/>
      <w:bookmarkStart w:id="66" w:name="_Toc152045539"/>
      <w:r>
        <w:rPr>
          <w:rFonts w:hint="eastAsia"/>
        </w:rPr>
        <w:t>1.10 踏勘现场</w:t>
      </w:r>
      <w:bookmarkEnd w:id="63"/>
      <w:bookmarkEnd w:id="64"/>
      <w:bookmarkEnd w:id="65"/>
      <w:bookmarkEnd w:id="66"/>
    </w:p>
    <w:p>
      <w:pPr>
        <w:snapToGrid w:val="0"/>
        <w:spacing w:line="400" w:lineRule="exact"/>
        <w:ind w:firstLine="420" w:firstLineChars="200"/>
        <w:rPr>
          <w:rFonts w:ascii="宋体" w:hAnsi="宋体"/>
        </w:rPr>
      </w:pPr>
      <w:r>
        <w:rPr>
          <w:rFonts w:hint="eastAsia" w:ascii="宋体" w:hAnsi="宋体"/>
        </w:rPr>
        <w:t xml:space="preserve">1.10.1 投标人须知前附表规定组织踏勘现场的，招标人按投标人须知前附表规定的时间、地点组织投标人踏勘项目现场。 </w:t>
      </w:r>
    </w:p>
    <w:p>
      <w:pPr>
        <w:snapToGrid w:val="0"/>
        <w:spacing w:line="400" w:lineRule="exact"/>
        <w:ind w:firstLine="420" w:firstLineChars="200"/>
        <w:rPr>
          <w:rFonts w:ascii="宋体" w:hAnsi="宋体"/>
        </w:rPr>
      </w:pPr>
      <w:r>
        <w:rPr>
          <w:rFonts w:hint="eastAsia" w:ascii="宋体" w:hAnsi="宋体"/>
        </w:rPr>
        <w:t>1.10.2 投标人踏勘现场发生的费用自理。</w:t>
      </w:r>
    </w:p>
    <w:p>
      <w:pPr>
        <w:snapToGrid w:val="0"/>
        <w:spacing w:line="400" w:lineRule="exact"/>
        <w:ind w:firstLine="420" w:firstLineChars="200"/>
        <w:rPr>
          <w:rFonts w:ascii="宋体" w:hAnsi="宋体"/>
        </w:rPr>
      </w:pPr>
      <w:r>
        <w:rPr>
          <w:rFonts w:hint="eastAsia" w:ascii="宋体" w:hAnsi="宋体"/>
        </w:rPr>
        <w:t>1.10.3 除招标人的原因外，投标人自行负责在踏勘现场中所发生的人员伤亡和财产损失。</w:t>
      </w:r>
    </w:p>
    <w:p>
      <w:pPr>
        <w:snapToGrid w:val="0"/>
        <w:spacing w:line="400" w:lineRule="exact"/>
        <w:ind w:firstLine="420" w:firstLineChars="200"/>
        <w:rPr>
          <w:rFonts w:ascii="宋体" w:hAnsi="宋体"/>
        </w:rPr>
      </w:pPr>
      <w:r>
        <w:rPr>
          <w:rFonts w:hint="eastAsia" w:ascii="宋体" w:hAnsi="宋体"/>
        </w:rPr>
        <w:t>1.10.4 招标人在踏勘现场中介绍的工程场地和相关的周边环境情况，供投标人在编制投标文件时参考，招标人不对投标人据此作出的判断和决策负责。</w:t>
      </w:r>
    </w:p>
    <w:p>
      <w:pPr>
        <w:pStyle w:val="63"/>
        <w:snapToGrid w:val="0"/>
      </w:pPr>
      <w:bookmarkStart w:id="67" w:name="_Toc144974508"/>
      <w:bookmarkStart w:id="68" w:name="_Toc152045540"/>
      <w:bookmarkStart w:id="69" w:name="_Toc361338247"/>
      <w:bookmarkStart w:id="70" w:name="_Toc152042316"/>
      <w:r>
        <w:rPr>
          <w:rFonts w:hint="eastAsia"/>
        </w:rPr>
        <w:t>1.11投标预备会</w:t>
      </w:r>
      <w:bookmarkEnd w:id="67"/>
      <w:bookmarkEnd w:id="68"/>
      <w:bookmarkEnd w:id="69"/>
      <w:bookmarkEnd w:id="70"/>
    </w:p>
    <w:p>
      <w:pPr>
        <w:snapToGrid w:val="0"/>
        <w:spacing w:line="400" w:lineRule="exact"/>
        <w:ind w:firstLine="420" w:firstLineChars="200"/>
        <w:rPr>
          <w:rFonts w:ascii="宋体" w:hAnsi="宋体"/>
        </w:rPr>
      </w:pPr>
      <w:r>
        <w:rPr>
          <w:rFonts w:hint="eastAsia" w:ascii="宋体" w:hAnsi="宋体"/>
        </w:rPr>
        <w:t>1.11.1 投标人须知前附表规定召开投标预备会的，招标人按投标人须知前附表规定的时间和地点召开投标预备会，澄清投标人提出的问题。</w:t>
      </w:r>
    </w:p>
    <w:p>
      <w:pPr>
        <w:snapToGrid w:val="0"/>
        <w:spacing w:line="400" w:lineRule="exact"/>
        <w:ind w:firstLine="420" w:firstLineChars="200"/>
        <w:rPr>
          <w:rFonts w:ascii="宋体" w:hAnsi="宋体"/>
        </w:rPr>
      </w:pPr>
      <w:r>
        <w:rPr>
          <w:rFonts w:hint="eastAsia" w:ascii="宋体" w:hAnsi="宋体"/>
        </w:rPr>
        <w:t>1.11.2 投标人应在投标人须知前附表规定的时间前，以书面形式将提出的问题送达招标人，以便招标人在会议期间澄清。</w:t>
      </w:r>
    </w:p>
    <w:p>
      <w:pPr>
        <w:snapToGrid w:val="0"/>
        <w:spacing w:line="400" w:lineRule="exact"/>
        <w:ind w:firstLine="420" w:firstLineChars="200"/>
      </w:pPr>
      <w:r>
        <w:rPr>
          <w:rFonts w:hint="eastAsia" w:ascii="宋体" w:hAnsi="宋体"/>
        </w:rPr>
        <w:t>1.11.3 投标预备会后，招标人在投标人须知前附表规定的时间内，将对投标人所提问题的澄清，以书面方式通知所有购买招标文件的投标人。该澄清内容为招标文件的组成部分。</w:t>
      </w:r>
      <w:bookmarkStart w:id="71" w:name="_Toc152045542"/>
      <w:bookmarkStart w:id="72" w:name="_Toc152042318"/>
      <w:bookmarkStart w:id="73" w:name="_Toc144974510"/>
      <w:bookmarkStart w:id="74" w:name="_Toc361338249"/>
    </w:p>
    <w:p>
      <w:pPr>
        <w:pStyle w:val="56"/>
        <w:snapToGrid w:val="0"/>
        <w:spacing w:before="0"/>
      </w:pPr>
      <w:r>
        <w:rPr>
          <w:rFonts w:hint="eastAsia"/>
        </w:rPr>
        <w:t>2. 招标文件</w:t>
      </w:r>
      <w:bookmarkEnd w:id="71"/>
      <w:bookmarkEnd w:id="72"/>
      <w:bookmarkEnd w:id="73"/>
      <w:bookmarkEnd w:id="74"/>
    </w:p>
    <w:p>
      <w:pPr>
        <w:pStyle w:val="63"/>
        <w:snapToGrid w:val="0"/>
      </w:pPr>
      <w:bookmarkStart w:id="75" w:name="_Toc152042319"/>
      <w:bookmarkStart w:id="76" w:name="_Toc144974511"/>
      <w:bookmarkStart w:id="77" w:name="_Toc361338250"/>
      <w:bookmarkStart w:id="78" w:name="_Toc152045543"/>
      <w:r>
        <w:rPr>
          <w:rFonts w:hint="eastAsia"/>
        </w:rPr>
        <w:t>2.1 招标文件的组成</w:t>
      </w:r>
      <w:bookmarkEnd w:id="75"/>
      <w:bookmarkEnd w:id="76"/>
      <w:bookmarkEnd w:id="77"/>
      <w:bookmarkEnd w:id="78"/>
    </w:p>
    <w:p>
      <w:pPr>
        <w:snapToGrid w:val="0"/>
        <w:spacing w:line="400" w:lineRule="exact"/>
      </w:pPr>
      <w:r>
        <w:rPr>
          <w:rFonts w:hint="eastAsia"/>
        </w:rPr>
        <w:t>　　本招标文件包括：</w:t>
      </w:r>
    </w:p>
    <w:p>
      <w:pPr>
        <w:snapToGrid w:val="0"/>
        <w:spacing w:line="400" w:lineRule="exact"/>
        <w:ind w:firstLine="359" w:firstLineChars="171"/>
      </w:pPr>
      <w:r>
        <w:rPr>
          <w:rFonts w:hint="eastAsia"/>
        </w:rPr>
        <w:t>第一章  招标公告或投标邀请书；</w:t>
      </w:r>
    </w:p>
    <w:p>
      <w:pPr>
        <w:snapToGrid w:val="0"/>
        <w:spacing w:line="400" w:lineRule="exact"/>
        <w:ind w:firstLine="359" w:firstLineChars="171"/>
      </w:pPr>
      <w:r>
        <w:rPr>
          <w:rFonts w:hint="eastAsia"/>
        </w:rPr>
        <w:t>第二章  投标人须知；</w:t>
      </w:r>
    </w:p>
    <w:p>
      <w:pPr>
        <w:snapToGrid w:val="0"/>
        <w:spacing w:line="400" w:lineRule="exact"/>
        <w:ind w:firstLine="359" w:firstLineChars="171"/>
      </w:pPr>
      <w:r>
        <w:rPr>
          <w:rFonts w:hint="eastAsia"/>
        </w:rPr>
        <w:t>第三章  评标办法；</w:t>
      </w:r>
    </w:p>
    <w:p>
      <w:pPr>
        <w:snapToGrid w:val="0"/>
        <w:spacing w:line="400" w:lineRule="exact"/>
        <w:ind w:firstLine="359" w:firstLineChars="171"/>
      </w:pPr>
      <w:r>
        <w:rPr>
          <w:rFonts w:hint="eastAsia"/>
        </w:rPr>
        <w:t>第四章  合同条款及格式；</w:t>
      </w:r>
    </w:p>
    <w:p>
      <w:pPr>
        <w:snapToGrid w:val="0"/>
        <w:spacing w:line="400" w:lineRule="exact"/>
        <w:ind w:firstLine="359" w:firstLineChars="171"/>
      </w:pPr>
      <w:r>
        <w:rPr>
          <w:rFonts w:hint="eastAsia"/>
        </w:rPr>
        <w:t>第五章  招标内容；</w:t>
      </w:r>
    </w:p>
    <w:p>
      <w:pPr>
        <w:snapToGrid w:val="0"/>
        <w:spacing w:line="400" w:lineRule="exact"/>
        <w:ind w:firstLine="359" w:firstLineChars="171"/>
      </w:pPr>
      <w:r>
        <w:rPr>
          <w:rFonts w:hint="eastAsia"/>
        </w:rPr>
        <w:t>第六章  投标文件格式。</w:t>
      </w:r>
    </w:p>
    <w:p>
      <w:pPr>
        <w:snapToGrid w:val="0"/>
        <w:spacing w:line="400" w:lineRule="exact"/>
        <w:ind w:firstLine="420" w:firstLineChars="200"/>
        <w:rPr>
          <w:rFonts w:ascii="宋体" w:hAnsi="宋体"/>
        </w:rPr>
      </w:pPr>
      <w:r>
        <w:rPr>
          <w:rFonts w:hint="eastAsia" w:ascii="宋体" w:hAnsi="宋体"/>
        </w:rPr>
        <w:t>根据本章第1.11款、第2.2款和第2.3款对招标文件所作的澄清、修改，构成招标文件的组成部分。当招标文件及其澄清、修改或补充文件对同一内容表述不一致时，以最后发出的书面文件为准。</w:t>
      </w:r>
    </w:p>
    <w:p>
      <w:pPr>
        <w:pStyle w:val="63"/>
      </w:pPr>
      <w:bookmarkStart w:id="79" w:name="_Toc152042320"/>
      <w:bookmarkStart w:id="80" w:name="_Toc179632562"/>
      <w:bookmarkStart w:id="81" w:name="_Toc144974512"/>
      <w:bookmarkStart w:id="82" w:name="_Toc152045544"/>
      <w:r>
        <w:rPr>
          <w:rFonts w:hint="eastAsia"/>
        </w:rPr>
        <w:t>2.2 招标文件的澄清</w:t>
      </w:r>
      <w:bookmarkEnd w:id="79"/>
      <w:bookmarkEnd w:id="80"/>
      <w:bookmarkEnd w:id="81"/>
      <w:bookmarkEnd w:id="82"/>
    </w:p>
    <w:p>
      <w:pPr>
        <w:spacing w:line="400" w:lineRule="exact"/>
        <w:ind w:firstLine="420" w:firstLineChars="200"/>
        <w:rPr>
          <w:rFonts w:ascii="宋体" w:hAnsi="宋体"/>
        </w:rPr>
      </w:pPr>
      <w:r>
        <w:rPr>
          <w:rFonts w:hint="eastAsia" w:ascii="宋体" w:hAnsi="宋体"/>
        </w:rPr>
        <w:t>2.2.1投标人应仔细阅读和检查招标文件的全部内容。</w:t>
      </w:r>
      <w:r>
        <w:rPr>
          <w:rFonts w:hint="eastAsia" w:ascii="宋体" w:hAnsi="宋体"/>
          <w:szCs w:val="21"/>
        </w:rPr>
        <w:t>如发现缺页或附件不全，应及时向招标人提出，以便补齐。</w:t>
      </w:r>
      <w:r>
        <w:rPr>
          <w:rFonts w:hint="eastAsia" w:ascii="宋体" w:hAnsi="宋体"/>
        </w:rPr>
        <w:t>如有疑问，应在投标人须知前附表规定的时间前以书面形式（包括信函、电报、传真等可以有形地表现所载内容的形式，下同），要求招标人对招标文件予以澄清。</w:t>
      </w:r>
    </w:p>
    <w:p>
      <w:pPr>
        <w:spacing w:line="400" w:lineRule="exact"/>
        <w:ind w:firstLine="420" w:firstLineChars="200"/>
        <w:rPr>
          <w:rFonts w:ascii="宋体" w:hAnsi="宋体"/>
        </w:rPr>
      </w:pPr>
      <w:r>
        <w:rPr>
          <w:rFonts w:hint="eastAsia" w:ascii="宋体" w:hAnsi="宋体"/>
        </w:rPr>
        <w:t>2.2.2 招标文件的澄清将在投标人须知前附表规定的投标截止时间3天前以书面形式发给所有购买招标文件的投标人，但不指明澄清问题的来源。如果澄清的内容可能影响投标文件编制的且澄清发出的时间距投标截止时间不足3天，相应延长投标截止时间。</w:t>
      </w:r>
    </w:p>
    <w:p>
      <w:pPr>
        <w:spacing w:line="400" w:lineRule="exact"/>
        <w:ind w:firstLine="420" w:firstLineChars="200"/>
        <w:rPr>
          <w:rFonts w:ascii="宋体" w:hAnsi="宋体"/>
        </w:rPr>
      </w:pPr>
      <w:r>
        <w:rPr>
          <w:rFonts w:hint="eastAsia" w:ascii="宋体" w:hAnsi="宋体"/>
        </w:rPr>
        <w:t>2.2.3 投标人在收到澄清后，应在投标人须知前附表规定的时间和方式通知招标人，确认收到该澄清。</w:t>
      </w:r>
    </w:p>
    <w:p>
      <w:pPr>
        <w:spacing w:line="400" w:lineRule="exact"/>
        <w:ind w:firstLine="420" w:firstLineChars="200"/>
      </w:pPr>
      <w:r>
        <w:rPr>
          <w:rFonts w:hint="eastAsia" w:ascii="宋体" w:hAnsi="宋体"/>
        </w:rPr>
        <w:t>2.2.4采用未进行资格预审方式的，投标人提出问题和招标人澄清的方式见投标人须知前附表第2.2.1-2.2.3项。</w:t>
      </w:r>
    </w:p>
    <w:p>
      <w:pPr>
        <w:pStyle w:val="63"/>
      </w:pPr>
      <w:bookmarkStart w:id="83" w:name="_Toc179632563"/>
      <w:bookmarkStart w:id="84" w:name="_Toc152042321"/>
      <w:bookmarkStart w:id="85" w:name="_Toc144974513"/>
      <w:bookmarkStart w:id="86" w:name="_Toc152045545"/>
      <w:r>
        <w:rPr>
          <w:rFonts w:hint="eastAsia"/>
        </w:rPr>
        <w:t>2.3 招标文件的修改</w:t>
      </w:r>
      <w:bookmarkEnd w:id="83"/>
      <w:bookmarkEnd w:id="84"/>
      <w:bookmarkEnd w:id="85"/>
      <w:bookmarkEnd w:id="86"/>
    </w:p>
    <w:p>
      <w:pPr>
        <w:spacing w:line="400" w:lineRule="exact"/>
        <w:ind w:firstLine="420" w:firstLineChars="200"/>
        <w:rPr>
          <w:rFonts w:ascii="宋体" w:hAnsi="宋体"/>
        </w:rPr>
      </w:pPr>
      <w:r>
        <w:rPr>
          <w:rFonts w:hint="eastAsia" w:ascii="宋体" w:hAnsi="宋体"/>
        </w:rPr>
        <w:t>2.3.1招标人可以对已发出的招标文件进行必要的修改。修改的内容可能影响投标文件编制的，招标人在投标截止时间至少15日前，以书面形式（资格后审采用网络形式）通知已购买招标文件的投标人。不足15日的，招标人相应顺延提交投标文件的截止时间。</w:t>
      </w:r>
    </w:p>
    <w:p>
      <w:pPr>
        <w:snapToGrid w:val="0"/>
        <w:spacing w:line="400" w:lineRule="exact"/>
        <w:ind w:firstLine="420" w:firstLineChars="200"/>
        <w:rPr>
          <w:rFonts w:ascii="宋体" w:hAnsi="宋体"/>
        </w:rPr>
      </w:pPr>
      <w:r>
        <w:rPr>
          <w:rFonts w:hint="eastAsia" w:ascii="宋体" w:hAnsi="宋体"/>
        </w:rPr>
        <w:t>2.3.2 投标人收到修改内容后，确认已收到该修改的方式见投标人须知前附表。</w:t>
      </w:r>
    </w:p>
    <w:p>
      <w:pPr>
        <w:pStyle w:val="56"/>
        <w:snapToGrid w:val="0"/>
        <w:spacing w:before="0"/>
        <w:rPr>
          <w:rFonts w:ascii="宋体" w:hAnsi="宋体"/>
        </w:rPr>
      </w:pPr>
      <w:bookmarkStart w:id="87" w:name="_Toc152042322"/>
      <w:bookmarkStart w:id="88" w:name="_Toc144974514"/>
      <w:bookmarkStart w:id="89" w:name="_Toc361338253"/>
      <w:bookmarkStart w:id="90" w:name="_Toc152045546"/>
      <w:r>
        <w:rPr>
          <w:rFonts w:hint="eastAsia"/>
        </w:rPr>
        <w:t>3. 投标文件</w:t>
      </w:r>
      <w:bookmarkEnd w:id="87"/>
      <w:bookmarkEnd w:id="88"/>
      <w:bookmarkEnd w:id="89"/>
      <w:bookmarkEnd w:id="90"/>
    </w:p>
    <w:p>
      <w:pPr>
        <w:numPr>
          <w:ilvl w:val="1"/>
          <w:numId w:val="2"/>
        </w:numPr>
        <w:tabs>
          <w:tab w:val="left" w:pos="360"/>
          <w:tab w:val="clear" w:pos="992"/>
        </w:tabs>
        <w:spacing w:line="460" w:lineRule="exact"/>
        <w:ind w:left="360" w:hanging="360"/>
        <w:rPr>
          <w:rFonts w:ascii="宋体" w:hAnsi="宋体" w:cs="宋体"/>
          <w:b/>
          <w:sz w:val="22"/>
          <w:szCs w:val="22"/>
        </w:rPr>
      </w:pPr>
      <w:bookmarkStart w:id="91" w:name="_Toc152045548"/>
      <w:bookmarkStart w:id="92" w:name="_Toc144974516"/>
      <w:bookmarkStart w:id="93" w:name="_Toc152042324"/>
      <w:bookmarkStart w:id="94" w:name="_Toc361338255"/>
      <w:r>
        <w:rPr>
          <w:rFonts w:hint="eastAsia" w:ascii="宋体" w:hAnsi="宋体" w:cs="宋体"/>
          <w:b/>
          <w:sz w:val="22"/>
          <w:szCs w:val="22"/>
        </w:rPr>
        <w:t xml:space="preserve">  投标文件由技术资信标和商务标两部分构成：</w:t>
      </w:r>
    </w:p>
    <w:p>
      <w:pPr>
        <w:numPr>
          <w:ilvl w:val="0"/>
          <w:numId w:val="3"/>
        </w:numPr>
        <w:spacing w:line="430" w:lineRule="exact"/>
        <w:ind w:left="187" w:leftChars="85" w:hanging="9" w:hangingChars="4"/>
        <w:rPr>
          <w:rFonts w:ascii="宋体" w:hAnsi="宋体" w:cs="宋体"/>
          <w:b/>
          <w:sz w:val="22"/>
          <w:szCs w:val="22"/>
        </w:rPr>
      </w:pPr>
      <w:r>
        <w:rPr>
          <w:rFonts w:hint="eastAsia" w:ascii="宋体" w:hAnsi="宋体" w:cs="宋体"/>
          <w:b/>
          <w:sz w:val="22"/>
          <w:szCs w:val="22"/>
        </w:rPr>
        <w:t>技术资信标</w:t>
      </w:r>
    </w:p>
    <w:p>
      <w:pPr>
        <w:spacing w:line="400" w:lineRule="exact"/>
        <w:ind w:firstLine="420" w:firstLineChars="200"/>
        <w:rPr>
          <w:rFonts w:ascii="宋体" w:hAnsi="宋体"/>
        </w:rPr>
      </w:pPr>
      <w:r>
        <w:rPr>
          <w:rFonts w:hint="eastAsia" w:ascii="宋体" w:hAnsi="宋体"/>
        </w:rPr>
        <w:t>1、技术资信内容页码对照表</w:t>
      </w:r>
    </w:p>
    <w:p>
      <w:pPr>
        <w:spacing w:line="400" w:lineRule="exact"/>
        <w:ind w:firstLine="420" w:firstLineChars="200"/>
        <w:rPr>
          <w:rFonts w:ascii="宋体" w:hAnsi="宋体"/>
        </w:rPr>
      </w:pPr>
      <w:r>
        <w:rPr>
          <w:rFonts w:hint="eastAsia" w:ascii="宋体" w:hAnsi="宋体"/>
        </w:rPr>
        <w:t>2、投标人基本情况表，后附资格审查资料：</w:t>
      </w:r>
    </w:p>
    <w:p>
      <w:pPr>
        <w:spacing w:line="400" w:lineRule="exact"/>
        <w:ind w:firstLine="420" w:firstLineChars="200"/>
        <w:rPr>
          <w:rFonts w:ascii="宋体" w:hAnsi="宋体"/>
        </w:rPr>
      </w:pPr>
      <w:r>
        <w:rPr>
          <w:rFonts w:hint="eastAsia" w:ascii="宋体" w:hAnsi="宋体"/>
        </w:rPr>
        <w:t>（1）投标人企业营业执照副本复印件。</w:t>
      </w:r>
    </w:p>
    <w:p>
      <w:pPr>
        <w:spacing w:line="400" w:lineRule="exact"/>
        <w:ind w:firstLine="420" w:firstLineChars="200"/>
        <w:rPr>
          <w:rFonts w:ascii="宋体" w:hAnsi="宋体"/>
        </w:rPr>
      </w:pPr>
      <w:r>
        <w:rPr>
          <w:rFonts w:hint="eastAsia" w:ascii="宋体" w:hAnsi="宋体"/>
        </w:rPr>
        <w:t>（2）投标人认为的其他资料(招标文件要求其它资料)。</w:t>
      </w:r>
    </w:p>
    <w:p>
      <w:pPr>
        <w:spacing w:line="400" w:lineRule="exact"/>
        <w:ind w:firstLine="420" w:firstLineChars="200"/>
        <w:rPr>
          <w:rFonts w:ascii="宋体" w:hAnsi="宋体"/>
        </w:rPr>
      </w:pPr>
      <w:r>
        <w:rPr>
          <w:rFonts w:hint="eastAsia" w:ascii="宋体" w:hAnsi="宋体"/>
        </w:rPr>
        <w:t>3、投标产品总体制造、安装工艺、装备、技术、质量水平；</w:t>
      </w:r>
    </w:p>
    <w:p>
      <w:pPr>
        <w:spacing w:line="400" w:lineRule="exact"/>
        <w:ind w:firstLine="420" w:firstLineChars="200"/>
        <w:rPr>
          <w:rFonts w:ascii="宋体" w:hAnsi="宋体"/>
        </w:rPr>
      </w:pPr>
      <w:r>
        <w:rPr>
          <w:rFonts w:hint="eastAsia" w:ascii="宋体" w:hAnsi="宋体"/>
        </w:rPr>
        <w:t>4、投标材料设备品牌选用表；</w:t>
      </w:r>
    </w:p>
    <w:p>
      <w:pPr>
        <w:spacing w:line="400" w:lineRule="exact"/>
        <w:ind w:firstLine="420" w:firstLineChars="200"/>
        <w:rPr>
          <w:rFonts w:ascii="宋体" w:hAnsi="宋体"/>
        </w:rPr>
      </w:pPr>
      <w:r>
        <w:rPr>
          <w:rFonts w:hint="eastAsia" w:ascii="宋体" w:hAnsi="宋体"/>
        </w:rPr>
        <w:t>5、对产品质量及售后服务方面的措施；</w:t>
      </w:r>
    </w:p>
    <w:p>
      <w:pPr>
        <w:spacing w:line="400" w:lineRule="exact"/>
        <w:ind w:firstLine="420" w:firstLineChars="200"/>
        <w:rPr>
          <w:rFonts w:ascii="宋体" w:hAnsi="宋体"/>
        </w:rPr>
      </w:pPr>
      <w:r>
        <w:rPr>
          <w:rFonts w:hint="eastAsia" w:ascii="宋体" w:hAnsi="宋体"/>
        </w:rPr>
        <w:t>6、优惠承诺</w:t>
      </w:r>
    </w:p>
    <w:p>
      <w:pPr>
        <w:spacing w:line="400" w:lineRule="exact"/>
        <w:ind w:firstLine="420" w:firstLineChars="200"/>
        <w:rPr>
          <w:rFonts w:ascii="宋体" w:hAnsi="宋体"/>
        </w:rPr>
      </w:pPr>
      <w:r>
        <w:rPr>
          <w:rFonts w:hint="eastAsia" w:ascii="宋体" w:hAnsi="宋体"/>
        </w:rPr>
        <w:t>7、投标人2015年1月至今类似项目业绩；</w:t>
      </w:r>
    </w:p>
    <w:p>
      <w:pPr>
        <w:spacing w:line="400" w:lineRule="exact"/>
        <w:ind w:firstLine="420" w:firstLineChars="200"/>
        <w:rPr>
          <w:rFonts w:ascii="宋体" w:hAnsi="宋体"/>
        </w:rPr>
      </w:pPr>
      <w:r>
        <w:rPr>
          <w:rFonts w:hint="eastAsia" w:ascii="宋体" w:hAnsi="宋体"/>
        </w:rPr>
        <w:t>8、投标人认为需要提供的其他资料。</w:t>
      </w:r>
    </w:p>
    <w:p>
      <w:pPr>
        <w:spacing w:line="430" w:lineRule="exact"/>
        <w:rPr>
          <w:rFonts w:ascii="宋体" w:hAnsi="宋体" w:cs="宋体"/>
          <w:b/>
          <w:sz w:val="22"/>
          <w:szCs w:val="22"/>
        </w:rPr>
      </w:pPr>
      <w:bookmarkStart w:id="95" w:name="_Toc221356886"/>
      <w:r>
        <w:rPr>
          <w:rFonts w:hint="eastAsia" w:ascii="宋体" w:hAnsi="宋体" w:cs="宋体"/>
          <w:b/>
          <w:sz w:val="22"/>
          <w:szCs w:val="22"/>
        </w:rPr>
        <w:t>（2） 商务（报价）标</w:t>
      </w:r>
      <w:bookmarkEnd w:id="95"/>
    </w:p>
    <w:p>
      <w:pPr>
        <w:spacing w:line="400" w:lineRule="exact"/>
        <w:ind w:firstLine="420" w:firstLineChars="200"/>
        <w:rPr>
          <w:rFonts w:ascii="宋体" w:hAnsi="宋体"/>
        </w:rPr>
      </w:pPr>
      <w:r>
        <w:rPr>
          <w:rFonts w:hint="eastAsia" w:ascii="宋体" w:hAnsi="宋体"/>
        </w:rPr>
        <w:t>1、投标函；</w:t>
      </w:r>
    </w:p>
    <w:p>
      <w:pPr>
        <w:spacing w:line="400" w:lineRule="exact"/>
        <w:ind w:firstLine="420" w:firstLineChars="200"/>
        <w:rPr>
          <w:rFonts w:ascii="宋体" w:hAnsi="宋体"/>
        </w:rPr>
      </w:pPr>
      <w:r>
        <w:rPr>
          <w:rFonts w:hint="eastAsia" w:ascii="宋体" w:hAnsi="宋体"/>
        </w:rPr>
        <w:t>2、法定代表人身份证明；</w:t>
      </w:r>
    </w:p>
    <w:p>
      <w:pPr>
        <w:spacing w:line="400" w:lineRule="exact"/>
        <w:ind w:firstLine="420" w:firstLineChars="200"/>
        <w:rPr>
          <w:rFonts w:ascii="宋体" w:hAnsi="宋体"/>
        </w:rPr>
      </w:pPr>
      <w:r>
        <w:rPr>
          <w:rFonts w:hint="eastAsia" w:ascii="宋体" w:hAnsi="宋体"/>
        </w:rPr>
        <w:t xml:space="preserve">3、投标分项报价表； </w:t>
      </w:r>
    </w:p>
    <w:p>
      <w:pPr>
        <w:spacing w:line="400" w:lineRule="exact"/>
        <w:ind w:firstLine="420" w:firstLineChars="200"/>
        <w:rPr>
          <w:rFonts w:ascii="宋体" w:hAnsi="宋体"/>
        </w:rPr>
      </w:pPr>
      <w:r>
        <w:rPr>
          <w:rFonts w:hint="eastAsia" w:ascii="宋体" w:hAnsi="宋体"/>
        </w:rPr>
        <w:t>4、商务偏离表；</w:t>
      </w:r>
    </w:p>
    <w:p>
      <w:pPr>
        <w:spacing w:line="400" w:lineRule="exact"/>
        <w:ind w:firstLine="420" w:firstLineChars="200"/>
        <w:rPr>
          <w:rFonts w:ascii="宋体" w:hAnsi="宋体"/>
        </w:rPr>
      </w:pPr>
      <w:r>
        <w:rPr>
          <w:rFonts w:hint="eastAsia" w:ascii="宋体" w:hAnsi="宋体"/>
        </w:rPr>
        <w:t>5、授权委托书</w:t>
      </w:r>
    </w:p>
    <w:p>
      <w:pPr>
        <w:spacing w:line="400" w:lineRule="exact"/>
        <w:ind w:firstLine="420" w:firstLineChars="200"/>
        <w:rPr>
          <w:rFonts w:ascii="宋体" w:hAnsi="宋体"/>
        </w:rPr>
      </w:pPr>
      <w:r>
        <w:rPr>
          <w:rFonts w:hint="eastAsia" w:ascii="宋体" w:hAnsi="宋体"/>
        </w:rPr>
        <w:t>6、投标人认为需要提供的其他资料及情况说明。</w:t>
      </w:r>
    </w:p>
    <w:p>
      <w:pPr>
        <w:pStyle w:val="63"/>
        <w:snapToGrid w:val="0"/>
      </w:pPr>
      <w:r>
        <w:rPr>
          <w:rFonts w:hint="eastAsia"/>
        </w:rPr>
        <w:t>3.2 投标报价</w:t>
      </w:r>
      <w:bookmarkEnd w:id="91"/>
      <w:bookmarkEnd w:id="92"/>
      <w:bookmarkEnd w:id="93"/>
      <w:bookmarkEnd w:id="94"/>
    </w:p>
    <w:p>
      <w:pPr>
        <w:snapToGrid w:val="0"/>
        <w:spacing w:line="400" w:lineRule="exact"/>
        <w:ind w:firstLine="420" w:firstLineChars="200"/>
        <w:rPr>
          <w:rFonts w:ascii="宋体" w:hAnsi="宋体"/>
        </w:rPr>
      </w:pPr>
      <w:r>
        <w:rPr>
          <w:rFonts w:hint="eastAsia" w:ascii="宋体" w:hAnsi="宋体"/>
        </w:rPr>
        <w:t>3.2.1 投标报价是</w:t>
      </w:r>
      <w:r>
        <w:rPr>
          <w:rFonts w:hint="eastAsia" w:ascii="宋体" w:hAnsi="宋体"/>
          <w:szCs w:val="21"/>
        </w:rPr>
        <w:t>投标人的投标报价应当是在服务期内，投标单位按照合同规定的范围所提供全部服务所需要的费用。</w:t>
      </w:r>
    </w:p>
    <w:p>
      <w:pPr>
        <w:snapToGrid w:val="0"/>
        <w:spacing w:line="400" w:lineRule="exact"/>
        <w:ind w:firstLine="420" w:firstLineChars="200"/>
        <w:rPr>
          <w:rFonts w:ascii="宋体" w:hAnsi="宋体"/>
        </w:rPr>
      </w:pPr>
      <w:r>
        <w:rPr>
          <w:rFonts w:hint="eastAsia" w:ascii="宋体" w:hAnsi="宋体"/>
        </w:rPr>
        <w:t>3.2.2投标报价应由投标人结合市场情况及自身因素，进行竞争性报价。</w:t>
      </w:r>
      <w:r>
        <w:rPr>
          <w:rFonts w:hint="eastAsia" w:ascii="宋体" w:hAnsi="宋体"/>
          <w:b/>
        </w:rPr>
        <w:t>投标人须知前附表规定设置最高投标限价的，投标报价不得超出最高投标限价，否则将否决其投标。</w:t>
      </w:r>
    </w:p>
    <w:p>
      <w:pPr>
        <w:spacing w:line="360" w:lineRule="exact"/>
        <w:ind w:firstLine="359" w:firstLineChars="171"/>
        <w:rPr>
          <w:rFonts w:ascii="宋体" w:hAnsi="宋体"/>
        </w:rPr>
      </w:pPr>
      <w:r>
        <w:rPr>
          <w:rFonts w:hint="eastAsia" w:ascii="宋体" w:hAnsi="宋体"/>
        </w:rPr>
        <w:t>3.2.3投标人必须按照招标文件规定的格式和内容，计算投标报价。投标人未填报的费用视为已包含在其他报价中，</w:t>
      </w:r>
      <w:r>
        <w:rPr>
          <w:rFonts w:ascii="宋体" w:hAnsi="宋体"/>
        </w:rPr>
        <w:t>在项目实施时发包人将不予支付，但不免除投标人按合同规定应尽的义务和责任。</w:t>
      </w:r>
    </w:p>
    <w:p>
      <w:pPr>
        <w:spacing w:line="360" w:lineRule="exact"/>
        <w:ind w:firstLine="359" w:firstLineChars="171"/>
        <w:rPr>
          <w:rFonts w:ascii="宋体" w:hAnsi="宋体"/>
        </w:rPr>
      </w:pPr>
      <w:r>
        <w:rPr>
          <w:rFonts w:hint="eastAsia" w:ascii="宋体" w:hAnsi="宋体"/>
        </w:rPr>
        <w:t>3.2.4投标人可根据本工程内容和要求，结合自身管理经验和技术水平，提出服务费单价，一旦确定综合单价不得调整。</w:t>
      </w:r>
    </w:p>
    <w:p>
      <w:pPr>
        <w:spacing w:line="360" w:lineRule="exact"/>
        <w:ind w:firstLine="359" w:firstLineChars="171"/>
        <w:rPr>
          <w:rFonts w:ascii="宋体" w:hAnsi="宋体"/>
        </w:rPr>
      </w:pPr>
      <w:r>
        <w:rPr>
          <w:rFonts w:hint="eastAsia" w:ascii="宋体" w:hAnsi="宋体"/>
        </w:rPr>
        <w:t>3.2.5投标报价应是投标人在正确地完全履行合同义务后招标人应支付给投标人所有的价款，即货物的采购、制造、检测、运输、保险、交货、安装、现场培训、验收（招标人验收）、技术服务、售后服务、材料及采购代理服务费等为完成项目所需的全部费用，实行固定总价包干，报价人应根据上述因素自行考虑含入投标报价中，否则由此而引起的一切费用均视为已包括在投标报价中。</w:t>
      </w:r>
    </w:p>
    <w:p>
      <w:pPr>
        <w:spacing w:line="360" w:lineRule="exact"/>
        <w:ind w:firstLine="359" w:firstLineChars="171"/>
        <w:rPr>
          <w:rFonts w:ascii="宋体" w:hAnsi="宋体"/>
        </w:rPr>
      </w:pPr>
      <w:r>
        <w:rPr>
          <w:rFonts w:hint="eastAsia" w:ascii="宋体" w:hAnsi="宋体"/>
        </w:rPr>
        <w:t>3.2.6各投标人必须服从招标人的安排，不得以任何理由拒绝或延迟进场服务，并充分考虑服务点分散，所需措施费用自行测定，并分摊在各综合单价中。</w:t>
      </w:r>
    </w:p>
    <w:p>
      <w:pPr>
        <w:snapToGrid w:val="0"/>
        <w:spacing w:line="400" w:lineRule="exact"/>
        <w:ind w:firstLine="420" w:firstLineChars="200"/>
        <w:rPr>
          <w:rFonts w:ascii="宋体" w:hAnsi="宋体"/>
        </w:rPr>
      </w:pPr>
      <w:r>
        <w:rPr>
          <w:rFonts w:hint="eastAsia" w:ascii="宋体" w:hAnsi="宋体"/>
        </w:rPr>
        <w:t>3.2.7投标报价其他情况说明：见投标人须知前附表。</w:t>
      </w:r>
    </w:p>
    <w:p>
      <w:pPr>
        <w:pStyle w:val="63"/>
        <w:snapToGrid w:val="0"/>
      </w:pPr>
      <w:bookmarkStart w:id="96" w:name="_Toc361338256"/>
      <w:bookmarkStart w:id="97" w:name="_Toc152045549"/>
      <w:bookmarkStart w:id="98" w:name="_Toc144974517"/>
      <w:bookmarkStart w:id="99" w:name="_Toc152042325"/>
      <w:r>
        <w:rPr>
          <w:rFonts w:hint="eastAsia"/>
        </w:rPr>
        <w:t>3.3 投标有效期</w:t>
      </w:r>
      <w:bookmarkEnd w:id="96"/>
      <w:bookmarkEnd w:id="97"/>
      <w:bookmarkEnd w:id="98"/>
      <w:bookmarkEnd w:id="99"/>
    </w:p>
    <w:p>
      <w:pPr>
        <w:snapToGrid w:val="0"/>
        <w:spacing w:line="400" w:lineRule="exact"/>
        <w:ind w:firstLine="420" w:firstLineChars="200"/>
        <w:rPr>
          <w:rFonts w:ascii="宋体" w:hAnsi="宋体"/>
          <w:spacing w:val="-8"/>
        </w:rPr>
      </w:pPr>
      <w:r>
        <w:rPr>
          <w:rFonts w:hint="eastAsia" w:ascii="宋体" w:hAnsi="宋体"/>
        </w:rPr>
        <w:t xml:space="preserve">3.3.1 </w:t>
      </w:r>
      <w:r>
        <w:rPr>
          <w:rFonts w:hint="eastAsia" w:ascii="宋体" w:hAnsi="宋体"/>
          <w:spacing w:val="-8"/>
        </w:rPr>
        <w:t>在投标人须知前附表规定的投标有效期内，投标人不得要求撤销或修改其投标文件。</w:t>
      </w:r>
    </w:p>
    <w:p>
      <w:pPr>
        <w:snapToGrid w:val="0"/>
        <w:spacing w:line="400" w:lineRule="exact"/>
        <w:ind w:firstLine="420" w:firstLineChars="200"/>
        <w:rPr>
          <w:rFonts w:ascii="宋体" w:hAnsi="宋体"/>
        </w:rPr>
      </w:pPr>
      <w:r>
        <w:rPr>
          <w:rFonts w:hint="eastAsia" w:ascii="宋体" w:hAnsi="宋体"/>
        </w:rPr>
        <w:t>3.3.2出现特殊情况需要延长投标有效期的，招标人以书面形式通知所有投标人延长投标有效期。投标人同意延长的，不得要求或被允许修改或撤销其投标文件；投标人拒绝延长的，其投标失效。</w:t>
      </w:r>
    </w:p>
    <w:p>
      <w:pPr>
        <w:pStyle w:val="63"/>
        <w:snapToGrid w:val="0"/>
      </w:pPr>
      <w:bookmarkStart w:id="100" w:name="_Toc152042326"/>
      <w:bookmarkStart w:id="101" w:name="_Toc144974518"/>
      <w:bookmarkStart w:id="102" w:name="_Toc361338257"/>
      <w:bookmarkStart w:id="103" w:name="_Toc152045550"/>
      <w:r>
        <w:rPr>
          <w:rFonts w:hint="eastAsia"/>
        </w:rPr>
        <w:t>3.4 投标保证金</w:t>
      </w:r>
      <w:bookmarkEnd w:id="100"/>
      <w:bookmarkEnd w:id="101"/>
      <w:bookmarkEnd w:id="102"/>
      <w:bookmarkEnd w:id="103"/>
    </w:p>
    <w:p>
      <w:pPr>
        <w:spacing w:line="400" w:lineRule="exact"/>
        <w:ind w:firstLine="420" w:firstLineChars="200"/>
        <w:rPr>
          <w:rFonts w:ascii="宋体" w:hAnsi="宋体"/>
        </w:rPr>
      </w:pPr>
      <w:r>
        <w:rPr>
          <w:rFonts w:ascii="宋体" w:hAnsi="宋体"/>
        </w:rPr>
        <w:t>3.4.1</w:t>
      </w:r>
      <w:r>
        <w:rPr>
          <w:rFonts w:hint="eastAsia" w:ascii="宋体" w:hAnsi="宋体"/>
        </w:rPr>
        <w:t>投标人应按招标文件要求提交投标保证金</w:t>
      </w:r>
      <w:r>
        <w:rPr>
          <w:rFonts w:hint="eastAsia" w:ascii="宋体" w:hAnsi="宋体"/>
          <w:b/>
        </w:rPr>
        <w:t>（本项目不要求投标人提供投标保证金，但不免除投标人相应的赔偿责任）</w:t>
      </w:r>
      <w:r>
        <w:rPr>
          <w:rFonts w:hint="eastAsia" w:ascii="宋体" w:hAnsi="宋体"/>
        </w:rPr>
        <w:t>。</w:t>
      </w:r>
    </w:p>
    <w:p>
      <w:pPr>
        <w:spacing w:line="400" w:lineRule="exact"/>
        <w:ind w:firstLine="420" w:firstLineChars="200"/>
        <w:rPr>
          <w:rFonts w:ascii="宋体" w:hAnsi="宋体"/>
        </w:rPr>
      </w:pPr>
      <w:r>
        <w:rPr>
          <w:rFonts w:ascii="宋体" w:hAnsi="宋体"/>
        </w:rPr>
        <w:t>3.4.2投标截止后投标人撤销投标文件的，招标人可以</w:t>
      </w:r>
      <w:r>
        <w:rPr>
          <w:rFonts w:hint="eastAsia" w:ascii="宋体" w:hAnsi="宋体"/>
        </w:rPr>
        <w:t>要求其承担相应的赔偿责任</w:t>
      </w:r>
      <w:r>
        <w:rPr>
          <w:rFonts w:ascii="宋体" w:hAnsi="宋体"/>
        </w:rPr>
        <w:t>。中标人无正当理由不与招标人订立合同，在签订合同时向招标人提出附加条件，或者不按照招标文件要求提交履约保证金的，取消其中标资格，招标人</w:t>
      </w:r>
      <w:r>
        <w:rPr>
          <w:rFonts w:hint="eastAsia" w:ascii="宋体" w:hAnsi="宋体"/>
        </w:rPr>
        <w:t>将要求其承担相应的赔偿责任</w:t>
      </w:r>
      <w:r>
        <w:rPr>
          <w:rFonts w:ascii="宋体" w:hAnsi="宋体"/>
        </w:rPr>
        <w:t>。</w:t>
      </w:r>
    </w:p>
    <w:p>
      <w:pPr>
        <w:pStyle w:val="63"/>
        <w:snapToGrid w:val="0"/>
      </w:pPr>
      <w:bookmarkStart w:id="104" w:name="_Toc144974519"/>
      <w:bookmarkStart w:id="105" w:name="_Toc152045551"/>
      <w:bookmarkStart w:id="106" w:name="_Toc152042327"/>
      <w:bookmarkStart w:id="107" w:name="_Toc361338258"/>
      <w:r>
        <w:rPr>
          <w:rFonts w:hint="eastAsia"/>
        </w:rPr>
        <w:t>3.5 资格审查</w:t>
      </w:r>
      <w:bookmarkEnd w:id="104"/>
      <w:bookmarkEnd w:id="105"/>
      <w:bookmarkEnd w:id="106"/>
      <w:bookmarkEnd w:id="107"/>
      <w:r>
        <w:rPr>
          <w:rFonts w:hint="eastAsia"/>
        </w:rPr>
        <w:t>资料</w:t>
      </w:r>
    </w:p>
    <w:p>
      <w:pPr>
        <w:snapToGrid w:val="0"/>
        <w:spacing w:line="400" w:lineRule="exact"/>
        <w:ind w:firstLine="420" w:firstLineChars="200"/>
        <w:rPr>
          <w:rFonts w:ascii="宋体" w:hAnsi="宋体"/>
          <w:szCs w:val="21"/>
        </w:rPr>
      </w:pPr>
      <w:bookmarkStart w:id="108" w:name="_Toc152042328"/>
      <w:bookmarkStart w:id="109" w:name="_Toc144974520"/>
      <w:bookmarkStart w:id="110" w:name="_Toc179632570"/>
      <w:bookmarkStart w:id="111" w:name="_Toc152045552"/>
      <w:bookmarkStart w:id="112" w:name="_Toc361338259"/>
      <w:r>
        <w:rPr>
          <w:rFonts w:hint="eastAsia" w:ascii="宋体" w:hAnsi="宋体"/>
          <w:szCs w:val="21"/>
        </w:rPr>
        <w:t>（1）投标企业情况一览表；附企业营业执照副本复印件、</w:t>
      </w:r>
    </w:p>
    <w:p>
      <w:pPr>
        <w:snapToGrid w:val="0"/>
        <w:spacing w:line="400" w:lineRule="exact"/>
        <w:ind w:firstLine="420" w:firstLineChars="200"/>
        <w:rPr>
          <w:rFonts w:ascii="宋体" w:hAnsi="宋体"/>
          <w:szCs w:val="21"/>
        </w:rPr>
      </w:pPr>
      <w:r>
        <w:rPr>
          <w:rFonts w:hint="eastAsia" w:ascii="宋体" w:hAnsi="宋体"/>
          <w:szCs w:val="21"/>
        </w:rPr>
        <w:t>（2）企业资质必须符合投标人须知前附表对投标人的资质要求必须提供企业资质证书副本复印件；</w:t>
      </w:r>
    </w:p>
    <w:p>
      <w:pPr>
        <w:snapToGrid w:val="0"/>
        <w:spacing w:line="400" w:lineRule="exact"/>
        <w:ind w:firstLine="420" w:firstLineChars="200"/>
        <w:rPr>
          <w:rFonts w:ascii="宋体" w:hAnsi="宋体"/>
          <w:szCs w:val="21"/>
        </w:rPr>
      </w:pPr>
      <w:r>
        <w:rPr>
          <w:rFonts w:ascii="宋体" w:hAnsi="宋体"/>
          <w:szCs w:val="21"/>
        </w:rPr>
        <w:t>（</w:t>
      </w:r>
      <w:r>
        <w:rPr>
          <w:rFonts w:hint="eastAsia" w:ascii="宋体" w:hAnsi="宋体"/>
          <w:szCs w:val="21"/>
        </w:rPr>
        <w:t>3</w:t>
      </w:r>
      <w:r>
        <w:rPr>
          <w:rFonts w:ascii="宋体" w:hAnsi="宋体"/>
          <w:szCs w:val="21"/>
        </w:rPr>
        <w:t>）</w:t>
      </w:r>
      <w:r>
        <w:rPr>
          <w:rFonts w:hint="eastAsia" w:ascii="宋体" w:hAnsi="宋体"/>
          <w:szCs w:val="21"/>
        </w:rPr>
        <w:t>省外企业还需提供分支机构的营业执照和资质证书复印件</w:t>
      </w:r>
      <w:r>
        <w:rPr>
          <w:rFonts w:ascii="宋体" w:hAnsi="宋体"/>
          <w:szCs w:val="21"/>
        </w:rPr>
        <w:t>；</w:t>
      </w:r>
    </w:p>
    <w:p>
      <w:pPr>
        <w:snapToGrid w:val="0"/>
        <w:spacing w:line="400" w:lineRule="exact"/>
        <w:ind w:firstLine="420" w:firstLineChars="200"/>
        <w:rPr>
          <w:rFonts w:ascii="宋体" w:hAnsi="宋体"/>
          <w:szCs w:val="21"/>
        </w:rPr>
      </w:pPr>
      <w:r>
        <w:rPr>
          <w:rFonts w:hint="eastAsia" w:ascii="宋体" w:hAnsi="宋体"/>
          <w:szCs w:val="21"/>
        </w:rPr>
        <w:t>（4）本章第3.6款“投标人资格、能力、信誉情况”中要求提交的有关资料；</w:t>
      </w:r>
    </w:p>
    <w:p>
      <w:pPr>
        <w:snapToGrid w:val="0"/>
        <w:spacing w:line="400" w:lineRule="exact"/>
        <w:ind w:firstLine="420" w:firstLineChars="200"/>
        <w:rPr>
          <w:rFonts w:ascii="宋体" w:hAnsi="宋体"/>
          <w:szCs w:val="21"/>
        </w:rPr>
      </w:pPr>
      <w:r>
        <w:rPr>
          <w:rFonts w:hint="eastAsia" w:ascii="宋体" w:hAnsi="宋体"/>
          <w:szCs w:val="21"/>
        </w:rPr>
        <w:t>（5）投标人认为需要提交的其他材料。</w:t>
      </w:r>
    </w:p>
    <w:p>
      <w:pPr>
        <w:pStyle w:val="63"/>
        <w:snapToGrid w:val="0"/>
      </w:pPr>
      <w:r>
        <w:rPr>
          <w:rFonts w:hint="eastAsia"/>
        </w:rPr>
        <w:t>3.6</w:t>
      </w:r>
      <w:bookmarkEnd w:id="108"/>
      <w:bookmarkEnd w:id="109"/>
      <w:bookmarkEnd w:id="110"/>
      <w:bookmarkEnd w:id="111"/>
      <w:bookmarkEnd w:id="112"/>
      <w:bookmarkStart w:id="113" w:name="_Toc343091216"/>
      <w:r>
        <w:rPr>
          <w:rFonts w:hint="eastAsia"/>
        </w:rPr>
        <w:t>投标人资格、能力、信誉情况</w:t>
      </w:r>
      <w:bookmarkEnd w:id="113"/>
    </w:p>
    <w:p>
      <w:pPr>
        <w:autoSpaceDE w:val="0"/>
        <w:autoSpaceDN w:val="0"/>
        <w:adjustRightInd w:val="0"/>
        <w:spacing w:line="400" w:lineRule="exact"/>
        <w:ind w:firstLine="405" w:firstLineChars="193"/>
        <w:jc w:val="left"/>
        <w:rPr>
          <w:rFonts w:ascii="宋体" w:hAnsi="宋体"/>
          <w:kern w:val="0"/>
          <w:szCs w:val="21"/>
        </w:rPr>
      </w:pPr>
      <w:r>
        <w:rPr>
          <w:rFonts w:hint="eastAsia" w:ascii="宋体" w:hAnsi="宋体"/>
          <w:kern w:val="0"/>
          <w:szCs w:val="21"/>
        </w:rPr>
        <w:t>3.6.1“</w:t>
      </w:r>
      <w:r>
        <w:rPr>
          <w:rFonts w:hint="eastAsia" w:ascii="宋体" w:hAnsi="宋体"/>
          <w:szCs w:val="21"/>
        </w:rPr>
        <w:t>近三年财务状况的年份要求</w:t>
      </w:r>
      <w:r>
        <w:rPr>
          <w:rFonts w:hint="eastAsia" w:ascii="宋体" w:hAnsi="宋体"/>
          <w:kern w:val="0"/>
          <w:szCs w:val="21"/>
        </w:rPr>
        <w:t>”：投标人须知前附表第1.4.1项有要求提供的，则具体时间要求见投标人须知前附表。</w:t>
      </w:r>
    </w:p>
    <w:p>
      <w:pPr>
        <w:autoSpaceDE w:val="0"/>
        <w:autoSpaceDN w:val="0"/>
        <w:adjustRightInd w:val="0"/>
        <w:spacing w:line="400" w:lineRule="exact"/>
        <w:ind w:firstLine="405" w:firstLineChars="193"/>
        <w:jc w:val="left"/>
        <w:rPr>
          <w:rFonts w:ascii="宋体" w:hAnsi="宋体"/>
          <w:kern w:val="0"/>
          <w:szCs w:val="21"/>
        </w:rPr>
      </w:pPr>
      <w:r>
        <w:rPr>
          <w:rFonts w:hint="eastAsia" w:ascii="宋体" w:hAnsi="宋体"/>
          <w:kern w:val="0"/>
          <w:szCs w:val="21"/>
        </w:rPr>
        <w:t>3.6.2</w:t>
      </w:r>
      <w:r>
        <w:rPr>
          <w:rFonts w:hint="eastAsia"/>
        </w:rPr>
        <w:t>“近年发生的诉讼及仲裁情况”：如有，应说明相关情况，并附法院或仲裁机构作出的判决、裁决等有关法律文书复印件，具体年份要求见投标人须知前附表；</w:t>
      </w:r>
    </w:p>
    <w:p>
      <w:pPr>
        <w:autoSpaceDE w:val="0"/>
        <w:autoSpaceDN w:val="0"/>
        <w:adjustRightInd w:val="0"/>
        <w:spacing w:line="400" w:lineRule="exact"/>
        <w:ind w:firstLine="405" w:firstLineChars="193"/>
        <w:jc w:val="left"/>
        <w:rPr>
          <w:rFonts w:ascii="Calibri" w:hAnsi="Calibri"/>
        </w:rPr>
      </w:pPr>
      <w:r>
        <w:rPr>
          <w:rFonts w:hint="eastAsia" w:ascii="宋体" w:hAnsi="宋体"/>
        </w:rPr>
        <w:t xml:space="preserve">3.6.3 </w:t>
      </w:r>
      <w:r>
        <w:rPr>
          <w:rFonts w:hint="eastAsia" w:ascii="宋体" w:hAnsi="宋体"/>
          <w:kern w:val="0"/>
          <w:szCs w:val="21"/>
        </w:rPr>
        <w:t>投标人须知前附表规定接受联合体投标的</w:t>
      </w:r>
      <w:r>
        <w:rPr>
          <w:rFonts w:hint="eastAsia" w:ascii="宋体" w:hAnsi="宋体"/>
        </w:rPr>
        <w:t>，当包括联合体各方相关情况。</w:t>
      </w:r>
    </w:p>
    <w:p>
      <w:pPr>
        <w:pStyle w:val="63"/>
        <w:snapToGrid w:val="0"/>
      </w:pPr>
      <w:bookmarkStart w:id="114" w:name="_Toc152045554"/>
      <w:bookmarkStart w:id="115" w:name="_Toc144974522"/>
      <w:bookmarkStart w:id="116" w:name="_Toc152042330"/>
      <w:bookmarkStart w:id="117" w:name="_Toc361338260"/>
      <w:r>
        <w:rPr>
          <w:rFonts w:hint="eastAsia"/>
        </w:rPr>
        <w:t>3.7 投标文件的编制</w:t>
      </w:r>
      <w:bookmarkEnd w:id="114"/>
      <w:bookmarkEnd w:id="115"/>
      <w:bookmarkEnd w:id="116"/>
      <w:bookmarkEnd w:id="117"/>
    </w:p>
    <w:p>
      <w:pPr>
        <w:snapToGrid w:val="0"/>
        <w:spacing w:line="400" w:lineRule="exact"/>
        <w:ind w:firstLine="420" w:firstLineChars="200"/>
        <w:rPr>
          <w:rFonts w:ascii="宋体" w:hAnsi="宋体"/>
        </w:rPr>
      </w:pPr>
      <w:r>
        <w:rPr>
          <w:rFonts w:hint="eastAsia" w:ascii="宋体" w:hAnsi="宋体"/>
        </w:rPr>
        <w:t>3.7.1投标文件应按第六章“投标文件格式”进行编写，如有必要，可以增加附页，作为投标文件的组成部分。</w:t>
      </w:r>
    </w:p>
    <w:p>
      <w:pPr>
        <w:snapToGrid w:val="0"/>
        <w:spacing w:line="400" w:lineRule="exact"/>
        <w:ind w:firstLine="404" w:firstLineChars="200"/>
        <w:rPr>
          <w:rFonts w:ascii="宋体" w:hAnsi="宋体"/>
          <w:spacing w:val="-4"/>
          <w:szCs w:val="21"/>
        </w:rPr>
      </w:pPr>
      <w:r>
        <w:rPr>
          <w:rFonts w:hint="eastAsia" w:ascii="宋体" w:hAnsi="宋体"/>
          <w:spacing w:val="-4"/>
        </w:rPr>
        <w:t>3.7.2 投标文件应当对招标文件有关工程检测与相关服务期</w:t>
      </w:r>
      <w:r>
        <w:rPr>
          <w:rFonts w:hint="eastAsia" w:ascii="宋体" w:hAnsi="宋体"/>
          <w:spacing w:val="-4"/>
          <w:szCs w:val="21"/>
        </w:rPr>
        <w:t>、招标范围、投标报价等实质性内容作出响应。</w:t>
      </w:r>
    </w:p>
    <w:p>
      <w:pPr>
        <w:snapToGrid w:val="0"/>
        <w:spacing w:line="400" w:lineRule="exact"/>
        <w:ind w:firstLine="404" w:firstLineChars="200"/>
        <w:rPr>
          <w:rFonts w:ascii="宋体" w:hAnsi="宋体"/>
          <w:spacing w:val="-4"/>
        </w:rPr>
      </w:pPr>
      <w:r>
        <w:rPr>
          <w:rFonts w:hint="eastAsia" w:ascii="宋体" w:hAnsi="宋体"/>
          <w:spacing w:val="-4"/>
        </w:rPr>
        <w:t xml:space="preserve">3.7.3签字或盖章的具体要求见投标人须知前附表。 </w:t>
      </w:r>
    </w:p>
    <w:p>
      <w:pPr>
        <w:snapToGrid w:val="0"/>
        <w:spacing w:line="400" w:lineRule="exact"/>
        <w:ind w:firstLine="420" w:firstLineChars="200"/>
        <w:rPr>
          <w:rFonts w:ascii="宋体" w:hAnsi="宋体"/>
        </w:rPr>
      </w:pPr>
      <w:r>
        <w:rPr>
          <w:rFonts w:hint="eastAsia" w:ascii="宋体" w:hAnsi="宋体"/>
        </w:rPr>
        <w:t>3.7.4 投标文件份数见投标人须知前附表。如设正副本，正本和副本的封面上应清楚地标记“正本”或“副本”的字样。当副本和正本不一致时，以正本为准。</w:t>
      </w:r>
    </w:p>
    <w:p>
      <w:pPr>
        <w:snapToGrid w:val="0"/>
        <w:spacing w:line="400" w:lineRule="exact"/>
        <w:ind w:firstLine="420" w:firstLineChars="200"/>
        <w:rPr>
          <w:rFonts w:ascii="宋体" w:hAnsi="宋体"/>
        </w:rPr>
      </w:pPr>
      <w:r>
        <w:rPr>
          <w:rFonts w:hint="eastAsia" w:ascii="宋体" w:hAnsi="宋体"/>
        </w:rPr>
        <w:t>3.7.5 投标文件应装订成册，并编制目录，具体装订要求见投标人须知前附表规定。</w:t>
      </w:r>
    </w:p>
    <w:p>
      <w:pPr>
        <w:snapToGrid w:val="0"/>
        <w:spacing w:line="400" w:lineRule="exact"/>
        <w:rPr>
          <w:rFonts w:eastAsia="黑体" w:cs="宋体"/>
          <w:sz w:val="24"/>
          <w:szCs w:val="20"/>
        </w:rPr>
      </w:pPr>
      <w:bookmarkStart w:id="118" w:name="_Toc144974523"/>
      <w:bookmarkStart w:id="119" w:name="_Toc152045555"/>
      <w:bookmarkStart w:id="120" w:name="_Toc152042331"/>
      <w:r>
        <w:rPr>
          <w:rFonts w:hint="eastAsia" w:eastAsia="黑体" w:cs="宋体"/>
          <w:sz w:val="24"/>
          <w:szCs w:val="20"/>
        </w:rPr>
        <w:t>4. 投标</w:t>
      </w:r>
      <w:bookmarkEnd w:id="118"/>
      <w:bookmarkEnd w:id="119"/>
      <w:bookmarkEnd w:id="120"/>
    </w:p>
    <w:p>
      <w:pPr>
        <w:pStyle w:val="63"/>
        <w:snapToGrid w:val="0"/>
      </w:pPr>
      <w:bookmarkStart w:id="121" w:name="_Toc144974524"/>
      <w:bookmarkStart w:id="122" w:name="_Toc361338261"/>
      <w:bookmarkStart w:id="123" w:name="_Toc152045556"/>
      <w:bookmarkStart w:id="124" w:name="_Toc152042332"/>
      <w:r>
        <w:rPr>
          <w:rFonts w:hint="eastAsia"/>
        </w:rPr>
        <w:t>4.1 投标文件的密封和标记</w:t>
      </w:r>
      <w:bookmarkEnd w:id="121"/>
      <w:bookmarkEnd w:id="122"/>
      <w:bookmarkEnd w:id="123"/>
      <w:bookmarkEnd w:id="124"/>
    </w:p>
    <w:p>
      <w:pPr>
        <w:snapToGrid w:val="0"/>
        <w:spacing w:line="400" w:lineRule="exact"/>
        <w:ind w:firstLine="420" w:firstLineChars="200"/>
        <w:rPr>
          <w:rFonts w:ascii="宋体" w:hAnsi="宋体"/>
        </w:rPr>
      </w:pPr>
      <w:r>
        <w:rPr>
          <w:rFonts w:hint="eastAsia" w:ascii="宋体" w:hAnsi="宋体"/>
        </w:rPr>
        <w:t>4.1.1投标文件应密封要求：见投标人须知前附表的规定。</w:t>
      </w:r>
    </w:p>
    <w:p>
      <w:pPr>
        <w:snapToGrid w:val="0"/>
        <w:spacing w:line="400" w:lineRule="exact"/>
        <w:ind w:firstLine="420" w:firstLineChars="200"/>
        <w:rPr>
          <w:rFonts w:ascii="宋体" w:hAnsi="宋体"/>
        </w:rPr>
      </w:pPr>
      <w:r>
        <w:rPr>
          <w:rFonts w:hint="eastAsia" w:ascii="宋体" w:hAnsi="宋体"/>
        </w:rPr>
        <w:t xml:space="preserve">4.1.2 </w:t>
      </w:r>
      <w:r>
        <w:rPr>
          <w:rFonts w:hint="eastAsia" w:ascii="宋体" w:hAnsi="宋体"/>
          <w:b/>
        </w:rPr>
        <w:t>未按本章第4.1.1项要求密封和加写标记的投标文件，招标人不予受理或评标委员会否决其投标。</w:t>
      </w:r>
    </w:p>
    <w:p>
      <w:pPr>
        <w:pStyle w:val="63"/>
        <w:snapToGrid w:val="0"/>
      </w:pPr>
      <w:bookmarkStart w:id="125" w:name="_Toc361338262"/>
      <w:bookmarkStart w:id="126" w:name="_Toc152042333"/>
      <w:bookmarkStart w:id="127" w:name="_Toc144974525"/>
      <w:bookmarkStart w:id="128" w:name="_Toc152045557"/>
      <w:r>
        <w:rPr>
          <w:rFonts w:hint="eastAsia"/>
        </w:rPr>
        <w:t>4.2 投标文件的递交</w:t>
      </w:r>
      <w:bookmarkEnd w:id="125"/>
      <w:bookmarkEnd w:id="126"/>
      <w:bookmarkEnd w:id="127"/>
      <w:bookmarkEnd w:id="128"/>
    </w:p>
    <w:p>
      <w:pPr>
        <w:snapToGrid w:val="0"/>
        <w:spacing w:line="400" w:lineRule="exact"/>
        <w:ind w:firstLine="420" w:firstLineChars="200"/>
      </w:pPr>
      <w:r>
        <w:rPr>
          <w:rFonts w:hint="eastAsia"/>
        </w:rPr>
        <w:t>4.2.1 投标人应在投标人须知前附表规定的投标截止时间前递交投标文件。</w:t>
      </w:r>
    </w:p>
    <w:p>
      <w:pPr>
        <w:snapToGrid w:val="0"/>
        <w:spacing w:line="400" w:lineRule="exact"/>
        <w:ind w:firstLine="420" w:firstLineChars="200"/>
      </w:pPr>
      <w:r>
        <w:rPr>
          <w:rFonts w:hint="eastAsia"/>
        </w:rPr>
        <w:t>4.2.2 投标人递交投标文件的地点：见投标人须知前附表。</w:t>
      </w:r>
    </w:p>
    <w:p>
      <w:pPr>
        <w:spacing w:line="400" w:lineRule="exact"/>
        <w:ind w:firstLine="420" w:firstLineChars="200"/>
      </w:pPr>
      <w:r>
        <w:rPr>
          <w:rFonts w:hint="eastAsia"/>
        </w:rPr>
        <w:t>4.2.3 除投标人须知前附表另有规定外，投标人所递交的投标文件不予退还，但</w:t>
      </w:r>
      <w:r>
        <w:rPr>
          <w:rFonts w:ascii="宋体" w:hAnsi="宋体"/>
          <w:szCs w:val="21"/>
        </w:rPr>
        <w:t>资格审查资料原件除外</w:t>
      </w:r>
      <w:r>
        <w:rPr>
          <w:rFonts w:hint="eastAsia" w:ascii="宋体" w:hAnsi="宋体"/>
          <w:szCs w:val="21"/>
        </w:rPr>
        <w:t>。</w:t>
      </w:r>
    </w:p>
    <w:p>
      <w:pPr>
        <w:spacing w:line="400" w:lineRule="exact"/>
        <w:ind w:firstLine="420" w:firstLineChars="200"/>
      </w:pPr>
      <w:r>
        <w:rPr>
          <w:rFonts w:hint="eastAsia"/>
        </w:rPr>
        <w:t>4.2.4 招标人收到投标文件后，接收人和递交人均需在收标记录表上签字确认。</w:t>
      </w:r>
    </w:p>
    <w:p>
      <w:pPr>
        <w:snapToGrid w:val="0"/>
        <w:spacing w:line="400" w:lineRule="exact"/>
        <w:ind w:firstLine="422" w:firstLineChars="200"/>
      </w:pPr>
      <w:r>
        <w:rPr>
          <w:rFonts w:hint="eastAsia" w:ascii="宋体" w:hAnsi="宋体"/>
          <w:b/>
        </w:rPr>
        <w:t xml:space="preserve">4.2.5 </w:t>
      </w:r>
      <w:r>
        <w:rPr>
          <w:rFonts w:hint="eastAsia" w:ascii="宋体" w:hAnsi="宋体"/>
        </w:rPr>
        <w:t>投标文件有下列</w:t>
      </w:r>
      <w:r>
        <w:rPr>
          <w:rFonts w:hint="eastAsia"/>
        </w:rPr>
        <w:t>情形之一的，招标人不予受理：</w:t>
      </w:r>
    </w:p>
    <w:p>
      <w:pPr>
        <w:snapToGrid w:val="0"/>
        <w:spacing w:line="400" w:lineRule="exact"/>
        <w:ind w:firstLine="420" w:firstLineChars="200"/>
      </w:pPr>
      <w:r>
        <w:rPr>
          <w:rFonts w:hint="eastAsia"/>
        </w:rPr>
        <w:t>（1）逾期送达的或者未送达指定地点的投标文件；</w:t>
      </w:r>
    </w:p>
    <w:p>
      <w:pPr>
        <w:snapToGrid w:val="0"/>
        <w:spacing w:line="400" w:lineRule="exact"/>
        <w:ind w:firstLine="420" w:firstLineChars="200"/>
      </w:pPr>
      <w:r>
        <w:rPr>
          <w:rFonts w:hint="eastAsia"/>
        </w:rPr>
        <w:t>（2）未通过资格预审的申请人提交的投标文件（适用于已进行资格预审的）；</w:t>
      </w:r>
    </w:p>
    <w:p>
      <w:pPr>
        <w:pStyle w:val="63"/>
        <w:snapToGrid w:val="0"/>
      </w:pPr>
      <w:bookmarkStart w:id="129" w:name="_Toc152042334"/>
      <w:bookmarkStart w:id="130" w:name="_Toc144974526"/>
      <w:bookmarkStart w:id="131" w:name="_Toc152045558"/>
      <w:bookmarkStart w:id="132" w:name="_Toc361338263"/>
      <w:r>
        <w:rPr>
          <w:rFonts w:hint="eastAsia"/>
        </w:rPr>
        <w:t>4.3 投标文件的修改与撤回</w:t>
      </w:r>
      <w:bookmarkEnd w:id="129"/>
      <w:bookmarkEnd w:id="130"/>
      <w:bookmarkEnd w:id="131"/>
      <w:bookmarkEnd w:id="132"/>
    </w:p>
    <w:p>
      <w:pPr>
        <w:snapToGrid w:val="0"/>
        <w:spacing w:line="400" w:lineRule="exact"/>
        <w:ind w:firstLine="420" w:firstLineChars="200"/>
        <w:rPr>
          <w:rFonts w:ascii="宋体" w:hAnsi="宋体"/>
        </w:rPr>
      </w:pPr>
      <w:r>
        <w:rPr>
          <w:rFonts w:hint="eastAsia" w:ascii="宋体" w:hAnsi="宋体"/>
        </w:rPr>
        <w:t>4.3.1 在本章第4.2.1项规定的投标截止时间前，投标人可以修改或撤回已递交的投标文件，但应以书面形式通知招标人。</w:t>
      </w:r>
    </w:p>
    <w:p>
      <w:pPr>
        <w:snapToGrid w:val="0"/>
        <w:spacing w:line="400" w:lineRule="exact"/>
        <w:ind w:firstLine="420" w:firstLineChars="200"/>
        <w:rPr>
          <w:rFonts w:ascii="宋体" w:hAnsi="宋体"/>
        </w:rPr>
      </w:pPr>
      <w:r>
        <w:rPr>
          <w:rFonts w:hint="eastAsia" w:ascii="宋体" w:hAnsi="宋体"/>
        </w:rPr>
        <w:t>4.3.2 投标人修改或撤回已递交投标文件的书面通知应按照本章第3.7.3项的要求签字和盖章。招标人收到书面通知后，向投标人出具签收凭证。</w:t>
      </w:r>
    </w:p>
    <w:p>
      <w:pPr>
        <w:snapToGrid w:val="0"/>
        <w:spacing w:line="400" w:lineRule="exact"/>
        <w:ind w:firstLine="420" w:firstLineChars="200"/>
        <w:rPr>
          <w:rFonts w:ascii="宋体" w:hAnsi="宋体"/>
        </w:rPr>
      </w:pPr>
      <w:r>
        <w:rPr>
          <w:rFonts w:hint="eastAsia" w:ascii="宋体" w:hAnsi="宋体"/>
        </w:rPr>
        <w:t>4.3.3 修改的内容为投标文件的组成部分。修改的投标文件应按照本章第3条、第4条规定进行编制、密封、标记和递交，并标明“修改”字样。</w:t>
      </w:r>
    </w:p>
    <w:p>
      <w:pPr>
        <w:pStyle w:val="56"/>
        <w:snapToGrid w:val="0"/>
        <w:spacing w:before="0"/>
      </w:pPr>
      <w:bookmarkStart w:id="133" w:name="_Toc152042335"/>
      <w:bookmarkStart w:id="134" w:name="_Toc361338264"/>
      <w:bookmarkStart w:id="135" w:name="_Toc152045559"/>
      <w:bookmarkStart w:id="136" w:name="_Toc144974527"/>
      <w:r>
        <w:rPr>
          <w:rFonts w:hint="eastAsia"/>
        </w:rPr>
        <w:t>5. 开标</w:t>
      </w:r>
      <w:bookmarkEnd w:id="133"/>
      <w:bookmarkEnd w:id="134"/>
      <w:bookmarkEnd w:id="135"/>
      <w:bookmarkEnd w:id="136"/>
    </w:p>
    <w:p>
      <w:pPr>
        <w:pStyle w:val="63"/>
        <w:snapToGrid w:val="0"/>
      </w:pPr>
      <w:bookmarkStart w:id="137" w:name="_Toc152045560"/>
      <w:bookmarkStart w:id="138" w:name="_Toc361338265"/>
      <w:bookmarkStart w:id="139" w:name="_Toc144974528"/>
      <w:bookmarkStart w:id="140" w:name="_Toc152042336"/>
      <w:r>
        <w:rPr>
          <w:rFonts w:hint="eastAsia"/>
        </w:rPr>
        <w:t>5.1 开标时间和地点</w:t>
      </w:r>
      <w:bookmarkEnd w:id="137"/>
      <w:bookmarkEnd w:id="138"/>
      <w:bookmarkEnd w:id="139"/>
      <w:bookmarkEnd w:id="140"/>
    </w:p>
    <w:p>
      <w:pPr>
        <w:snapToGrid w:val="0"/>
        <w:spacing w:line="400" w:lineRule="exact"/>
        <w:ind w:firstLine="420" w:firstLineChars="200"/>
        <w:rPr>
          <w:rFonts w:ascii="宋体" w:hAnsi="宋体"/>
        </w:rPr>
      </w:pPr>
      <w:bookmarkStart w:id="141" w:name="_Toc144974529"/>
      <w:bookmarkStart w:id="142" w:name="_Toc152045561"/>
      <w:bookmarkStart w:id="143" w:name="_Toc152042337"/>
      <w:bookmarkStart w:id="144" w:name="_Toc361338266"/>
      <w:r>
        <w:rPr>
          <w:rFonts w:hint="eastAsia" w:ascii="宋体" w:hAnsi="宋体"/>
        </w:rPr>
        <w:t>5.1.1 招标人在</w:t>
      </w:r>
      <w:r>
        <w:rPr>
          <w:rFonts w:hint="eastAsia"/>
        </w:rPr>
        <w:t>投标人须知前附表5.1</w:t>
      </w:r>
      <w:r>
        <w:rPr>
          <w:rFonts w:hint="eastAsia" w:ascii="宋体" w:hAnsi="宋体"/>
        </w:rPr>
        <w:t>项规定的投标截止时间（开标时间）和地点，并按照</w:t>
      </w:r>
      <w:r>
        <w:rPr>
          <w:rFonts w:hint="eastAsia"/>
        </w:rPr>
        <w:t>投标人须知前附表5.2</w:t>
      </w:r>
      <w:r>
        <w:rPr>
          <w:rFonts w:hint="eastAsia" w:ascii="宋体" w:hAnsi="宋体"/>
        </w:rPr>
        <w:t xml:space="preserve">项规定进行开标。 </w:t>
      </w:r>
    </w:p>
    <w:p>
      <w:pPr>
        <w:snapToGrid w:val="0"/>
        <w:spacing w:line="400" w:lineRule="exact"/>
        <w:ind w:firstLine="420" w:firstLineChars="200"/>
      </w:pPr>
      <w:r>
        <w:rPr>
          <w:rFonts w:hint="eastAsia" w:ascii="宋体" w:hAnsi="宋体"/>
        </w:rPr>
        <w:t>5.1.2</w:t>
      </w:r>
      <w:r>
        <w:rPr>
          <w:rFonts w:hint="eastAsia"/>
        </w:rPr>
        <w:t>公开开标会议邀请所有投标人的法定代表人或其委托代理人准时参加。开标会由招标人或其委托的招标代理机构主持，参加开标会议的投标人对开标结果需签字确认，并提供法定代表人身份证明书或法定代表人授权委托书，以证明其身份，未提供身份证明的，不需在开标记录表中签字确认，对开标结果不得有异议。</w:t>
      </w:r>
    </w:p>
    <w:p>
      <w:pPr>
        <w:pStyle w:val="63"/>
        <w:snapToGrid w:val="0"/>
      </w:pPr>
      <w:r>
        <w:rPr>
          <w:rFonts w:hint="eastAsia"/>
        </w:rPr>
        <w:t>5.2 开标程序</w:t>
      </w:r>
      <w:bookmarkEnd w:id="141"/>
      <w:bookmarkEnd w:id="142"/>
      <w:bookmarkEnd w:id="143"/>
      <w:bookmarkEnd w:id="144"/>
    </w:p>
    <w:p>
      <w:pPr>
        <w:snapToGrid w:val="0"/>
        <w:spacing w:line="400" w:lineRule="exact"/>
        <w:ind w:firstLine="359" w:firstLineChars="171"/>
        <w:rPr>
          <w:rFonts w:ascii="宋体" w:hAnsi="宋体"/>
        </w:rPr>
      </w:pPr>
      <w:r>
        <w:rPr>
          <w:rFonts w:hint="eastAsia" w:ascii="宋体" w:hAnsi="宋体"/>
        </w:rPr>
        <w:t>5.2.1开标程序：见投标人须知前附表。</w:t>
      </w:r>
    </w:p>
    <w:p>
      <w:pPr>
        <w:snapToGrid w:val="0"/>
        <w:spacing w:line="400" w:lineRule="exact"/>
        <w:ind w:firstLine="359" w:firstLineChars="171"/>
        <w:rPr>
          <w:rFonts w:ascii="宋体" w:hAnsi="宋体"/>
        </w:rPr>
      </w:pPr>
      <w:r>
        <w:rPr>
          <w:rFonts w:hint="eastAsia" w:ascii="宋体" w:hAnsi="宋体"/>
        </w:rPr>
        <w:t xml:space="preserve">5.2.2 </w:t>
      </w:r>
      <w:r>
        <w:rPr>
          <w:rFonts w:hint="eastAsia" w:ascii="宋体" w:hAnsi="宋体"/>
          <w:b/>
        </w:rPr>
        <w:t>下列情形应当记录在案，经评标委员会评审后，将否决其投标：</w:t>
      </w:r>
    </w:p>
    <w:p>
      <w:pPr>
        <w:snapToGrid w:val="0"/>
        <w:spacing w:line="400" w:lineRule="exact"/>
        <w:ind w:firstLine="359" w:firstLineChars="171"/>
        <w:rPr>
          <w:rFonts w:ascii="宋体" w:hAnsi="宋体"/>
        </w:rPr>
      </w:pPr>
      <w:r>
        <w:rPr>
          <w:rFonts w:hint="eastAsia" w:ascii="宋体" w:hAnsi="宋体"/>
        </w:rPr>
        <w:t>（1）投标文件标明的项目及标段名称与招标文件不一致。</w:t>
      </w:r>
    </w:p>
    <w:p>
      <w:pPr>
        <w:pStyle w:val="63"/>
        <w:snapToGrid w:val="0"/>
      </w:pPr>
      <w:bookmarkStart w:id="145" w:name="_Toc361338267"/>
      <w:r>
        <w:rPr>
          <w:rFonts w:hint="eastAsia"/>
        </w:rPr>
        <w:t>5.3  开标异议</w:t>
      </w:r>
      <w:bookmarkEnd w:id="145"/>
    </w:p>
    <w:p>
      <w:pPr>
        <w:snapToGrid w:val="0"/>
        <w:spacing w:line="400" w:lineRule="exact"/>
        <w:ind w:firstLine="359" w:firstLineChars="171"/>
        <w:rPr>
          <w:rFonts w:ascii="宋体" w:hAnsi="宋体" w:cs="宋体"/>
          <w:szCs w:val="21"/>
        </w:rPr>
      </w:pPr>
      <w:r>
        <w:rPr>
          <w:rFonts w:hint="eastAsia" w:ascii="宋体" w:hAnsi="宋体" w:cs="宋体"/>
          <w:szCs w:val="21"/>
        </w:rPr>
        <w:t>投标人对开标有异议的，应当在开标现场提出，招标人当场作出答复，并制作记录。</w:t>
      </w:r>
    </w:p>
    <w:p>
      <w:pPr>
        <w:pStyle w:val="56"/>
        <w:snapToGrid w:val="0"/>
        <w:spacing w:before="0"/>
      </w:pPr>
      <w:bookmarkStart w:id="146" w:name="_Toc144974530"/>
      <w:bookmarkStart w:id="147" w:name="_Toc152045562"/>
      <w:bookmarkStart w:id="148" w:name="_Toc152042338"/>
      <w:bookmarkStart w:id="149" w:name="_Toc361338268"/>
      <w:r>
        <w:rPr>
          <w:rFonts w:hint="eastAsia"/>
        </w:rPr>
        <w:t>6. 评标</w:t>
      </w:r>
      <w:bookmarkEnd w:id="146"/>
      <w:bookmarkEnd w:id="147"/>
      <w:bookmarkEnd w:id="148"/>
      <w:bookmarkEnd w:id="149"/>
    </w:p>
    <w:p>
      <w:pPr>
        <w:pStyle w:val="63"/>
        <w:snapToGrid w:val="0"/>
      </w:pPr>
      <w:bookmarkStart w:id="150" w:name="_Toc152042339"/>
      <w:bookmarkStart w:id="151" w:name="_Toc144974531"/>
      <w:bookmarkStart w:id="152" w:name="_Toc361338269"/>
      <w:bookmarkStart w:id="153" w:name="_Toc152045563"/>
      <w:r>
        <w:rPr>
          <w:rFonts w:hint="eastAsia"/>
        </w:rPr>
        <w:t>6.1 评标委员会</w:t>
      </w:r>
      <w:bookmarkEnd w:id="150"/>
      <w:bookmarkEnd w:id="151"/>
      <w:bookmarkEnd w:id="152"/>
      <w:bookmarkEnd w:id="153"/>
    </w:p>
    <w:p>
      <w:pPr>
        <w:snapToGrid w:val="0"/>
        <w:spacing w:line="400" w:lineRule="exact"/>
        <w:ind w:firstLine="420" w:firstLineChars="200"/>
        <w:rPr>
          <w:rFonts w:ascii="宋体" w:hAnsi="宋体"/>
        </w:rPr>
      </w:pPr>
      <w:r>
        <w:rPr>
          <w:rFonts w:hint="eastAsia" w:ascii="宋体" w:hAnsi="宋体"/>
        </w:rPr>
        <w:t>6.1.1 评标由招标人依法组建的评标委员会负责。评标委员会由招标人以及有关技术、经济等方面的专家组成。评标委员会成员人数以及技术、经济等方面专家的确定方式见投标人须知前附表。</w:t>
      </w:r>
    </w:p>
    <w:p>
      <w:pPr>
        <w:snapToGrid w:val="0"/>
        <w:spacing w:line="400" w:lineRule="exact"/>
        <w:ind w:firstLine="420" w:firstLineChars="200"/>
        <w:rPr>
          <w:rFonts w:ascii="宋体" w:hAnsi="宋体"/>
        </w:rPr>
      </w:pPr>
      <w:r>
        <w:rPr>
          <w:rFonts w:hint="eastAsia" w:ascii="宋体" w:hAnsi="宋体"/>
        </w:rPr>
        <w:t>6.1.2 评标委员会成员有下列情形之一的，应当回避：</w:t>
      </w:r>
    </w:p>
    <w:p>
      <w:pPr>
        <w:snapToGrid w:val="0"/>
        <w:spacing w:line="400" w:lineRule="exact"/>
        <w:ind w:firstLine="718" w:firstLineChars="342"/>
        <w:rPr>
          <w:rFonts w:ascii="宋体" w:hAnsi="宋体"/>
        </w:rPr>
      </w:pPr>
      <w:r>
        <w:rPr>
          <w:rFonts w:hint="eastAsia" w:ascii="宋体" w:hAnsi="宋体"/>
        </w:rPr>
        <w:t>（1）招标人或投标人的主要负责人的近亲属；</w:t>
      </w:r>
    </w:p>
    <w:p>
      <w:pPr>
        <w:snapToGrid w:val="0"/>
        <w:spacing w:line="400" w:lineRule="exact"/>
        <w:ind w:firstLine="718" w:firstLineChars="342"/>
        <w:rPr>
          <w:rFonts w:ascii="宋体" w:hAnsi="宋体"/>
        </w:rPr>
      </w:pPr>
      <w:r>
        <w:rPr>
          <w:rFonts w:hint="eastAsia" w:ascii="宋体" w:hAnsi="宋体"/>
        </w:rPr>
        <w:t>（2）项目主管部门或者行政监督部门的人员；</w:t>
      </w:r>
    </w:p>
    <w:p>
      <w:pPr>
        <w:snapToGrid w:val="0"/>
        <w:spacing w:line="400" w:lineRule="exact"/>
        <w:ind w:firstLine="718" w:firstLineChars="342"/>
        <w:rPr>
          <w:rFonts w:ascii="宋体" w:hAnsi="宋体"/>
        </w:rPr>
      </w:pPr>
      <w:r>
        <w:rPr>
          <w:rFonts w:hint="eastAsia" w:ascii="宋体" w:hAnsi="宋体"/>
        </w:rPr>
        <w:t>（3）与投标人有经济利益关系，可能影响对投标公正评审的；</w:t>
      </w:r>
    </w:p>
    <w:p>
      <w:pPr>
        <w:snapToGrid w:val="0"/>
        <w:spacing w:line="400" w:lineRule="exact"/>
        <w:ind w:firstLine="718" w:firstLineChars="342"/>
        <w:rPr>
          <w:rFonts w:ascii="宋体" w:hAnsi="宋体"/>
        </w:rPr>
      </w:pPr>
      <w:r>
        <w:rPr>
          <w:rFonts w:hint="eastAsia" w:ascii="宋体" w:hAnsi="宋体"/>
        </w:rPr>
        <w:t>（4）曾因在招标、评标以及其他与招标投标有关活动中从事违法行为而受过行政处罚或刑事处罚的。</w:t>
      </w:r>
    </w:p>
    <w:p>
      <w:pPr>
        <w:pStyle w:val="63"/>
        <w:tabs>
          <w:tab w:val="left" w:pos="2620"/>
        </w:tabs>
        <w:snapToGrid w:val="0"/>
      </w:pPr>
      <w:bookmarkStart w:id="154" w:name="_Toc152045564"/>
      <w:bookmarkStart w:id="155" w:name="_Toc144974532"/>
      <w:bookmarkStart w:id="156" w:name="_Toc152042340"/>
      <w:bookmarkStart w:id="157" w:name="_Toc361338270"/>
      <w:r>
        <w:rPr>
          <w:rFonts w:hint="eastAsia"/>
        </w:rPr>
        <w:t>6.2 评标原则</w:t>
      </w:r>
      <w:bookmarkEnd w:id="154"/>
      <w:bookmarkEnd w:id="155"/>
      <w:bookmarkEnd w:id="156"/>
      <w:bookmarkEnd w:id="157"/>
      <w:r>
        <w:tab/>
      </w:r>
    </w:p>
    <w:p>
      <w:pPr>
        <w:snapToGrid w:val="0"/>
        <w:spacing w:line="400" w:lineRule="exact"/>
        <w:ind w:firstLine="420" w:firstLineChars="200"/>
      </w:pPr>
      <w:r>
        <w:rPr>
          <w:rFonts w:hint="eastAsia"/>
        </w:rPr>
        <w:t>评标活动遵循公平、公正、科学和择优的原则。</w:t>
      </w:r>
    </w:p>
    <w:p>
      <w:pPr>
        <w:pStyle w:val="63"/>
        <w:snapToGrid w:val="0"/>
      </w:pPr>
      <w:bookmarkStart w:id="158" w:name="_Toc361338271"/>
      <w:bookmarkStart w:id="159" w:name="_Toc152042341"/>
      <w:bookmarkStart w:id="160" w:name="_Toc144974533"/>
      <w:bookmarkStart w:id="161" w:name="_Toc152045565"/>
      <w:r>
        <w:rPr>
          <w:rFonts w:hint="eastAsia"/>
        </w:rPr>
        <w:t>6.3 评标</w:t>
      </w:r>
      <w:bookmarkEnd w:id="158"/>
      <w:bookmarkEnd w:id="159"/>
      <w:bookmarkEnd w:id="160"/>
      <w:bookmarkEnd w:id="161"/>
    </w:p>
    <w:p>
      <w:pPr>
        <w:spacing w:line="400" w:lineRule="exact"/>
        <w:ind w:firstLine="359" w:firstLineChars="171"/>
        <w:rPr>
          <w:rFonts w:ascii="宋体" w:hAnsi="宋体"/>
        </w:rPr>
      </w:pPr>
      <w:r>
        <w:rPr>
          <w:rFonts w:hint="eastAsia" w:ascii="宋体" w:hAnsi="宋体"/>
        </w:rPr>
        <w:t>评标委员会按照第三章“评标办法”规定的方法、评审因素、标准和程序对投标文件进行评审。第三章“评标办法”没有规定的方法、评审因素和标准，不作为评标依据。</w:t>
      </w:r>
    </w:p>
    <w:p>
      <w:pPr>
        <w:snapToGrid w:val="0"/>
        <w:spacing w:line="400" w:lineRule="exact"/>
        <w:ind w:firstLine="420" w:firstLineChars="200"/>
      </w:pPr>
    </w:p>
    <w:p>
      <w:pPr>
        <w:pStyle w:val="56"/>
        <w:snapToGrid w:val="0"/>
        <w:spacing w:before="0"/>
      </w:pPr>
      <w:bookmarkStart w:id="162" w:name="_Toc152045566"/>
      <w:bookmarkStart w:id="163" w:name="_Toc144974534"/>
      <w:bookmarkStart w:id="164" w:name="_Toc152042342"/>
      <w:bookmarkStart w:id="165" w:name="_Toc361338272"/>
      <w:r>
        <w:rPr>
          <w:rFonts w:hint="eastAsia"/>
        </w:rPr>
        <w:t>7. 合同授予</w:t>
      </w:r>
      <w:bookmarkEnd w:id="162"/>
      <w:bookmarkEnd w:id="163"/>
      <w:bookmarkEnd w:id="164"/>
      <w:bookmarkEnd w:id="165"/>
    </w:p>
    <w:p>
      <w:pPr>
        <w:pStyle w:val="63"/>
        <w:snapToGrid w:val="0"/>
      </w:pPr>
      <w:bookmarkStart w:id="166" w:name="_Toc361338273"/>
      <w:bookmarkStart w:id="167" w:name="_Toc152042343"/>
      <w:bookmarkStart w:id="168" w:name="_Toc144974535"/>
      <w:bookmarkStart w:id="169" w:name="_Toc152045567"/>
      <w:r>
        <w:rPr>
          <w:rFonts w:hint="eastAsia"/>
        </w:rPr>
        <w:t>7.1 定标方式</w:t>
      </w:r>
      <w:bookmarkEnd w:id="166"/>
      <w:bookmarkEnd w:id="167"/>
      <w:bookmarkEnd w:id="168"/>
      <w:bookmarkEnd w:id="169"/>
    </w:p>
    <w:p>
      <w:pPr>
        <w:snapToGrid w:val="0"/>
        <w:spacing w:line="400" w:lineRule="exact"/>
        <w:ind w:firstLine="432" w:firstLineChars="206"/>
      </w:pPr>
      <w:r>
        <w:rPr>
          <w:rFonts w:hint="eastAsia"/>
        </w:rPr>
        <w:t>除投标人须知前附表规定评标委员会直接确定中标人外，据评标委员会推荐中标候选人确定中标人，评标委员会推荐中标候选人的人数见投标人须知前附表。</w:t>
      </w:r>
    </w:p>
    <w:p>
      <w:pPr>
        <w:pStyle w:val="63"/>
        <w:snapToGrid w:val="0"/>
      </w:pPr>
      <w:bookmarkStart w:id="170" w:name="_Toc361338274"/>
      <w:r>
        <w:rPr>
          <w:rFonts w:hint="eastAsia"/>
        </w:rPr>
        <w:t>7.2  中标公示</w:t>
      </w:r>
      <w:bookmarkEnd w:id="170"/>
    </w:p>
    <w:p>
      <w:pPr>
        <w:snapToGrid w:val="0"/>
        <w:spacing w:line="400" w:lineRule="exact"/>
        <w:ind w:firstLine="525" w:firstLineChars="250"/>
        <w:rPr>
          <w:rFonts w:ascii="宋体" w:hAnsi="宋体" w:cs="宋体"/>
          <w:szCs w:val="21"/>
        </w:rPr>
      </w:pPr>
      <w:r>
        <w:rPr>
          <w:rFonts w:hint="eastAsia" w:ascii="宋体" w:hAnsi="宋体" w:cs="宋体"/>
          <w:szCs w:val="21"/>
        </w:rPr>
        <w:t>在中标通知书发出前，招标人将中标候选人的情况予以公示，公示期不得少于3个工作日。</w:t>
      </w:r>
    </w:p>
    <w:p>
      <w:pPr>
        <w:snapToGrid w:val="0"/>
        <w:spacing w:line="400" w:lineRule="exact"/>
        <w:ind w:firstLine="315" w:firstLineChars="150"/>
        <w:rPr>
          <w:rFonts w:ascii="宋体" w:hAnsi="宋体" w:cs="宋体"/>
          <w:szCs w:val="21"/>
        </w:rPr>
      </w:pPr>
      <w:r>
        <w:rPr>
          <w:rFonts w:hint="eastAsia" w:ascii="宋体" w:hAnsi="宋体" w:cs="宋体"/>
          <w:szCs w:val="21"/>
        </w:rPr>
        <w:t xml:space="preserve">  投标人或者其他利害关系人对评标结果有异议的，应当在中标公示期间提出。招标人将在收到异议之日起3日内给予答复并制作记录。</w:t>
      </w:r>
    </w:p>
    <w:p>
      <w:pPr>
        <w:pStyle w:val="63"/>
        <w:snapToGrid w:val="0"/>
      </w:pPr>
      <w:bookmarkStart w:id="171" w:name="_Toc144974536"/>
      <w:bookmarkStart w:id="172" w:name="_Toc152045568"/>
      <w:bookmarkStart w:id="173" w:name="_Toc152042344"/>
      <w:bookmarkStart w:id="174" w:name="_Toc361338275"/>
      <w:r>
        <w:rPr>
          <w:rFonts w:hint="eastAsia"/>
        </w:rPr>
        <w:t>7.3 中标通知</w:t>
      </w:r>
      <w:bookmarkEnd w:id="171"/>
      <w:bookmarkEnd w:id="172"/>
      <w:bookmarkEnd w:id="173"/>
      <w:bookmarkEnd w:id="174"/>
    </w:p>
    <w:p>
      <w:pPr>
        <w:snapToGrid w:val="0"/>
        <w:spacing w:line="400" w:lineRule="exact"/>
        <w:ind w:firstLine="420" w:firstLineChars="200"/>
      </w:pPr>
      <w:r>
        <w:rPr>
          <w:rFonts w:hint="eastAsia"/>
        </w:rPr>
        <w:t>在本章第3.3款规定的投标有效期内，招标人以书面形式向中标人发出中标通知书，同时将中标结果通知未中标的投标人。</w:t>
      </w:r>
    </w:p>
    <w:p>
      <w:pPr>
        <w:pStyle w:val="7"/>
        <w:snapToGrid w:val="0"/>
        <w:spacing w:before="0" w:after="0" w:line="400" w:lineRule="exact"/>
        <w:rPr>
          <w:rFonts w:ascii="Times New Roman" w:hAnsi="Times New Roman" w:cs="宋体"/>
          <w:b w:val="0"/>
          <w:bCs w:val="0"/>
          <w:sz w:val="24"/>
          <w:szCs w:val="20"/>
        </w:rPr>
      </w:pPr>
      <w:bookmarkStart w:id="175" w:name="_Toc152042346"/>
      <w:bookmarkStart w:id="176" w:name="_Toc144974538"/>
      <w:bookmarkStart w:id="177" w:name="_Toc152045570"/>
      <w:r>
        <w:rPr>
          <w:rFonts w:hint="eastAsia" w:ascii="Times New Roman" w:hAnsi="Times New Roman" w:cs="宋体"/>
          <w:b w:val="0"/>
          <w:bCs w:val="0"/>
          <w:sz w:val="24"/>
          <w:szCs w:val="20"/>
        </w:rPr>
        <w:t>7.4 履约担保</w:t>
      </w:r>
    </w:p>
    <w:p>
      <w:pPr>
        <w:snapToGrid w:val="0"/>
        <w:spacing w:line="400" w:lineRule="exact"/>
        <w:ind w:firstLine="420" w:firstLineChars="200"/>
        <w:rPr>
          <w:rFonts w:ascii="宋体" w:hAnsi="宋体"/>
          <w:szCs w:val="21"/>
        </w:rPr>
      </w:pPr>
      <w:r>
        <w:rPr>
          <w:rFonts w:hint="eastAsia" w:ascii="宋体" w:hAnsi="宋体"/>
        </w:rPr>
        <w:t xml:space="preserve">7.4.1 </w:t>
      </w:r>
      <w:r>
        <w:rPr>
          <w:rFonts w:hint="eastAsia" w:ascii="宋体" w:hAnsi="宋体"/>
          <w:szCs w:val="21"/>
        </w:rPr>
        <w:t>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snapToGrid w:val="0"/>
        <w:spacing w:line="400" w:lineRule="exact"/>
        <w:ind w:firstLine="420" w:firstLineChars="200"/>
        <w:rPr>
          <w:rFonts w:ascii="宋体" w:hAnsi="宋体"/>
          <w:szCs w:val="21"/>
        </w:rPr>
      </w:pPr>
      <w:r>
        <w:rPr>
          <w:rFonts w:hint="eastAsia" w:ascii="宋体" w:hAnsi="宋体"/>
        </w:rPr>
        <w:t>7.4.2 中标人不能按本章第7.3.1 项要求提交履约担保的，视为放弃中标</w:t>
      </w:r>
      <w:r>
        <w:rPr>
          <w:rFonts w:ascii="宋体" w:hAnsi="宋体"/>
        </w:rPr>
        <w:t>，招标人</w:t>
      </w:r>
      <w:r>
        <w:rPr>
          <w:rFonts w:hint="eastAsia" w:ascii="宋体" w:hAnsi="宋体"/>
        </w:rPr>
        <w:t>将要求其承担相应的赔偿责任，给招标人造成的损失超过赔偿责任数额的，中标人还应当对超过部分予以赔偿。</w:t>
      </w:r>
    </w:p>
    <w:p>
      <w:pPr>
        <w:pStyle w:val="63"/>
        <w:snapToGrid w:val="0"/>
      </w:pPr>
      <w:bookmarkStart w:id="178" w:name="_Toc361338276"/>
      <w:r>
        <w:rPr>
          <w:rFonts w:hint="eastAsia"/>
        </w:rPr>
        <w:t>7.5 签订合同</w:t>
      </w:r>
      <w:bookmarkEnd w:id="175"/>
      <w:bookmarkEnd w:id="176"/>
      <w:bookmarkEnd w:id="177"/>
      <w:bookmarkEnd w:id="178"/>
    </w:p>
    <w:p>
      <w:pPr>
        <w:snapToGrid w:val="0"/>
        <w:spacing w:line="400" w:lineRule="exact"/>
        <w:ind w:firstLine="420" w:firstLineChars="200"/>
        <w:rPr>
          <w:rFonts w:ascii="宋体" w:hAnsi="宋体"/>
        </w:rPr>
      </w:pPr>
      <w:r>
        <w:rPr>
          <w:rFonts w:hint="eastAsia" w:ascii="宋体" w:hAnsi="宋体"/>
        </w:rPr>
        <w:t>7.5.1招标人和中标人应当自中标通知书发出之日起30天内，根据招标文件和中标人的投标文件订立书面合同。中标人无正当理由拒签合同的，招标人取消其中标资格，</w:t>
      </w:r>
      <w:r>
        <w:rPr>
          <w:rFonts w:ascii="宋体" w:hAnsi="宋体"/>
        </w:rPr>
        <w:t>，招标人</w:t>
      </w:r>
      <w:r>
        <w:rPr>
          <w:rFonts w:hint="eastAsia" w:ascii="宋体" w:hAnsi="宋体"/>
        </w:rPr>
        <w:t xml:space="preserve">将要求其承担相应的赔偿责任；给招标人造成的损失超过赔偿责任数额的，中标人还应当对超过部分予以赔偿。 </w:t>
      </w:r>
    </w:p>
    <w:p>
      <w:pPr>
        <w:snapToGrid w:val="0"/>
        <w:spacing w:line="400" w:lineRule="exact"/>
        <w:ind w:firstLine="420" w:firstLineChars="200"/>
        <w:rPr>
          <w:rFonts w:ascii="宋体" w:hAnsi="宋体"/>
        </w:rPr>
      </w:pPr>
      <w:r>
        <w:rPr>
          <w:rFonts w:hint="eastAsia" w:ascii="宋体" w:hAnsi="宋体"/>
        </w:rPr>
        <w:t>7.5.2 发出中标通知书后，招标人无正当理由拒签合同的；给中标人造成损失的，还应当赔偿损失。</w:t>
      </w:r>
    </w:p>
    <w:p>
      <w:pPr>
        <w:snapToGrid w:val="0"/>
        <w:spacing w:line="400" w:lineRule="exact"/>
        <w:ind w:firstLine="420" w:firstLineChars="200"/>
      </w:pPr>
      <w:r>
        <w:rPr>
          <w:rFonts w:hint="eastAsia"/>
        </w:rPr>
        <w:t xml:space="preserve"> </w:t>
      </w:r>
    </w:p>
    <w:p>
      <w:pPr>
        <w:pStyle w:val="56"/>
        <w:snapToGrid w:val="0"/>
        <w:spacing w:before="0"/>
      </w:pPr>
      <w:bookmarkStart w:id="179" w:name="_Toc152042347"/>
      <w:bookmarkStart w:id="180" w:name="_Toc361338277"/>
      <w:bookmarkStart w:id="181" w:name="_Toc152045571"/>
      <w:bookmarkStart w:id="182" w:name="_Toc144974539"/>
      <w:r>
        <w:rPr>
          <w:rFonts w:hint="eastAsia"/>
        </w:rPr>
        <w:t>8. 重新招标和不再招标</w:t>
      </w:r>
      <w:bookmarkEnd w:id="179"/>
      <w:bookmarkEnd w:id="180"/>
      <w:bookmarkEnd w:id="181"/>
      <w:bookmarkEnd w:id="182"/>
    </w:p>
    <w:p>
      <w:pPr>
        <w:pStyle w:val="63"/>
        <w:snapToGrid w:val="0"/>
      </w:pPr>
      <w:bookmarkStart w:id="183" w:name="_Toc361338278"/>
      <w:bookmarkStart w:id="184" w:name="_Toc152042348"/>
      <w:bookmarkStart w:id="185" w:name="_Toc144974540"/>
      <w:bookmarkStart w:id="186" w:name="_Toc152045572"/>
      <w:r>
        <w:rPr>
          <w:rFonts w:hint="eastAsia"/>
        </w:rPr>
        <w:t>8.1 重新招标</w:t>
      </w:r>
      <w:bookmarkEnd w:id="183"/>
      <w:bookmarkEnd w:id="184"/>
      <w:bookmarkEnd w:id="185"/>
      <w:bookmarkEnd w:id="186"/>
    </w:p>
    <w:p>
      <w:pPr>
        <w:snapToGrid w:val="0"/>
        <w:spacing w:line="400" w:lineRule="exact"/>
        <w:ind w:firstLine="420" w:firstLineChars="200"/>
      </w:pPr>
      <w:r>
        <w:rPr>
          <w:rFonts w:hint="eastAsia"/>
        </w:rPr>
        <w:t>有下列情形之一的，招标人将重新招标：</w:t>
      </w:r>
    </w:p>
    <w:p>
      <w:pPr>
        <w:snapToGrid w:val="0"/>
        <w:spacing w:line="400" w:lineRule="exact"/>
        <w:ind w:firstLine="359" w:firstLineChars="171"/>
      </w:pPr>
      <w:r>
        <w:rPr>
          <w:rFonts w:hint="eastAsia"/>
        </w:rPr>
        <w:t>（1）投标截止时间止，投标人少于3个的；</w:t>
      </w:r>
    </w:p>
    <w:p>
      <w:pPr>
        <w:snapToGrid w:val="0"/>
        <w:spacing w:line="400" w:lineRule="exact"/>
        <w:ind w:firstLine="359" w:firstLineChars="171"/>
      </w:pPr>
      <w:r>
        <w:rPr>
          <w:rFonts w:hint="eastAsia"/>
        </w:rPr>
        <w:t>（2）经评标委员会评审后否决所有投标的；</w:t>
      </w:r>
    </w:p>
    <w:p>
      <w:pPr>
        <w:snapToGrid w:val="0"/>
        <w:spacing w:line="400" w:lineRule="exact"/>
        <w:ind w:firstLine="359" w:firstLineChars="171"/>
      </w:pPr>
      <w:r>
        <w:rPr>
          <w:rFonts w:hint="eastAsia"/>
        </w:rPr>
        <w:t>（3）评标委员会将认定为否决投标的排除后，有效投标少于三个，使得投标明显缺乏竞争的，可以否决全部投标。所有投标被否决的，招标人应当依法重新招标。</w:t>
      </w:r>
    </w:p>
    <w:p>
      <w:pPr>
        <w:snapToGrid w:val="0"/>
        <w:spacing w:line="400" w:lineRule="exact"/>
        <w:ind w:firstLine="359" w:firstLineChars="171"/>
      </w:pPr>
      <w:r>
        <w:rPr>
          <w:rFonts w:hint="eastAsia"/>
        </w:rPr>
        <w:t>（4）其他有关法律规定应当重新招标的情形的。</w:t>
      </w:r>
    </w:p>
    <w:p>
      <w:pPr>
        <w:pStyle w:val="63"/>
        <w:snapToGrid w:val="0"/>
      </w:pPr>
      <w:bookmarkStart w:id="187" w:name="_Toc361338279"/>
      <w:bookmarkStart w:id="188" w:name="_Toc152042349"/>
      <w:bookmarkStart w:id="189" w:name="_Toc144974541"/>
      <w:bookmarkStart w:id="190" w:name="_Toc152045573"/>
      <w:r>
        <w:rPr>
          <w:rFonts w:hint="eastAsia"/>
        </w:rPr>
        <w:t>8.2 不再招标</w:t>
      </w:r>
      <w:bookmarkEnd w:id="187"/>
      <w:bookmarkEnd w:id="188"/>
      <w:bookmarkEnd w:id="189"/>
      <w:bookmarkEnd w:id="190"/>
    </w:p>
    <w:p>
      <w:pPr>
        <w:snapToGrid w:val="0"/>
        <w:spacing w:line="400" w:lineRule="exact"/>
        <w:ind w:firstLine="420" w:firstLineChars="200"/>
      </w:pPr>
      <w:r>
        <w:rPr>
          <w:rFonts w:hint="eastAsia"/>
        </w:rPr>
        <w:t>重新招标后投标人仍少于3个或者所有投标被否决的，属于必须审批或核准的工程建设项目，经原审批或核准部门批准后不再进行招标。</w:t>
      </w:r>
    </w:p>
    <w:p>
      <w:pPr>
        <w:snapToGrid w:val="0"/>
        <w:spacing w:line="400" w:lineRule="exact"/>
        <w:ind w:firstLine="420" w:firstLineChars="200"/>
      </w:pPr>
    </w:p>
    <w:p>
      <w:pPr>
        <w:pStyle w:val="56"/>
        <w:snapToGrid w:val="0"/>
        <w:spacing w:before="0"/>
      </w:pPr>
      <w:bookmarkStart w:id="191" w:name="_Toc152045574"/>
      <w:bookmarkStart w:id="192" w:name="_Toc144974542"/>
      <w:bookmarkStart w:id="193" w:name="_Toc152042350"/>
      <w:bookmarkStart w:id="194" w:name="_Toc361338280"/>
      <w:r>
        <w:rPr>
          <w:rFonts w:hint="eastAsia"/>
        </w:rPr>
        <w:t>9. 纪律和监督</w:t>
      </w:r>
      <w:bookmarkEnd w:id="191"/>
      <w:bookmarkEnd w:id="192"/>
      <w:bookmarkEnd w:id="193"/>
      <w:bookmarkEnd w:id="194"/>
    </w:p>
    <w:p>
      <w:pPr>
        <w:pStyle w:val="63"/>
        <w:snapToGrid w:val="0"/>
      </w:pPr>
      <w:bookmarkStart w:id="195" w:name="_Toc361338281"/>
      <w:bookmarkStart w:id="196" w:name="_Toc152042351"/>
      <w:bookmarkStart w:id="197" w:name="_Toc144974543"/>
      <w:bookmarkStart w:id="198" w:name="_Toc152045575"/>
      <w:r>
        <w:rPr>
          <w:rFonts w:hint="eastAsia"/>
        </w:rPr>
        <w:t>9.1 对招标人的纪律要求</w:t>
      </w:r>
      <w:bookmarkEnd w:id="195"/>
      <w:bookmarkEnd w:id="196"/>
      <w:bookmarkEnd w:id="197"/>
      <w:bookmarkEnd w:id="198"/>
    </w:p>
    <w:p>
      <w:pPr>
        <w:snapToGrid w:val="0"/>
        <w:spacing w:line="400" w:lineRule="exact"/>
        <w:ind w:firstLine="420" w:firstLineChars="200"/>
      </w:pPr>
      <w:r>
        <w:rPr>
          <w:rFonts w:hint="eastAsia"/>
        </w:rPr>
        <w:t>招标人不得泄漏招标投标活动中应当保密的情况和资料，不得与投标人串通损害国家利益、社会公共利益或者他人合法权益。</w:t>
      </w:r>
    </w:p>
    <w:p>
      <w:pPr>
        <w:pStyle w:val="63"/>
        <w:snapToGrid w:val="0"/>
      </w:pPr>
      <w:bookmarkStart w:id="199" w:name="_Toc152042352"/>
      <w:bookmarkStart w:id="200" w:name="_Toc144974544"/>
      <w:bookmarkStart w:id="201" w:name="_Toc152045576"/>
      <w:bookmarkStart w:id="202" w:name="_Toc361338282"/>
      <w:r>
        <w:rPr>
          <w:rFonts w:hint="eastAsia"/>
        </w:rPr>
        <w:t>9.2 对投标人的纪律要求</w:t>
      </w:r>
      <w:bookmarkEnd w:id="199"/>
      <w:bookmarkEnd w:id="200"/>
      <w:bookmarkEnd w:id="201"/>
      <w:bookmarkEnd w:id="202"/>
    </w:p>
    <w:p>
      <w:pPr>
        <w:snapToGrid w:val="0"/>
        <w:spacing w:line="400" w:lineRule="exact"/>
        <w:ind w:firstLine="420" w:firstLineChars="200"/>
      </w:pP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63"/>
        <w:snapToGrid w:val="0"/>
      </w:pPr>
      <w:bookmarkStart w:id="203" w:name="_Toc361338283"/>
      <w:bookmarkStart w:id="204" w:name="_Toc152042353"/>
      <w:bookmarkStart w:id="205" w:name="_Toc144974545"/>
      <w:bookmarkStart w:id="206" w:name="_Toc152045577"/>
      <w:r>
        <w:rPr>
          <w:rFonts w:hint="eastAsia"/>
        </w:rPr>
        <w:t>9.3 对评标委员会成员的纪律要求</w:t>
      </w:r>
      <w:bookmarkEnd w:id="203"/>
      <w:bookmarkEnd w:id="204"/>
      <w:bookmarkEnd w:id="205"/>
      <w:bookmarkEnd w:id="206"/>
    </w:p>
    <w:p>
      <w:pPr>
        <w:spacing w:line="400" w:lineRule="exact"/>
        <w:ind w:firstLine="420" w:firstLineChars="200"/>
      </w:pPr>
      <w:r>
        <w:rPr>
          <w:rFonts w:hint="eastAsia"/>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63"/>
        <w:snapToGrid w:val="0"/>
      </w:pPr>
      <w:bookmarkStart w:id="207" w:name="_Toc152045578"/>
      <w:bookmarkStart w:id="208" w:name="_Toc152042354"/>
      <w:bookmarkStart w:id="209" w:name="_Toc361338284"/>
      <w:bookmarkStart w:id="210" w:name="_Toc144974546"/>
      <w:r>
        <w:rPr>
          <w:rFonts w:hint="eastAsia"/>
        </w:rPr>
        <w:t>9.4 对与评标活动有关的工作人员的纪律要求</w:t>
      </w:r>
      <w:bookmarkEnd w:id="207"/>
      <w:bookmarkEnd w:id="208"/>
      <w:bookmarkEnd w:id="209"/>
    </w:p>
    <w:p>
      <w:pPr>
        <w:snapToGrid w:val="0"/>
        <w:spacing w:line="400" w:lineRule="exact"/>
        <w:ind w:firstLine="420" w:firstLineChars="200"/>
      </w:pPr>
      <w:bookmarkStart w:id="211" w:name="_Toc152042355"/>
      <w:r>
        <w:rPr>
          <w:rFonts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11"/>
    </w:p>
    <w:p>
      <w:pPr>
        <w:pStyle w:val="63"/>
        <w:snapToGrid w:val="0"/>
      </w:pPr>
      <w:bookmarkStart w:id="212" w:name="_Toc152042356"/>
      <w:bookmarkStart w:id="213" w:name="_Toc361338285"/>
      <w:bookmarkStart w:id="214" w:name="_Toc152045579"/>
      <w:r>
        <w:rPr>
          <w:rFonts w:hint="eastAsia"/>
        </w:rPr>
        <w:t>9.5 投诉</w:t>
      </w:r>
      <w:bookmarkEnd w:id="210"/>
      <w:bookmarkEnd w:id="212"/>
      <w:bookmarkEnd w:id="213"/>
      <w:bookmarkEnd w:id="214"/>
    </w:p>
    <w:p>
      <w:pPr>
        <w:snapToGrid w:val="0"/>
        <w:spacing w:line="400" w:lineRule="exact"/>
        <w:ind w:firstLine="420" w:firstLineChars="200"/>
      </w:pPr>
      <w:r>
        <w:rPr>
          <w:rFonts w:hint="eastAsia"/>
        </w:rPr>
        <w:t>投标人和其他利害关系人认为本次招标活动违反法律、法规和规章规定的，应当在规定的时间内向招标人提出异议，有权向投标人须知前附表规定的行政监督部门投诉。</w:t>
      </w:r>
    </w:p>
    <w:p>
      <w:pPr>
        <w:pStyle w:val="56"/>
        <w:snapToGrid w:val="0"/>
        <w:spacing w:before="0"/>
      </w:pPr>
      <w:bookmarkStart w:id="215" w:name="_Toc152045580"/>
      <w:bookmarkStart w:id="216" w:name="_Toc144974547"/>
      <w:bookmarkStart w:id="217" w:name="_Toc152042357"/>
      <w:bookmarkStart w:id="218" w:name="_Toc361338286"/>
      <w:r>
        <w:rPr>
          <w:rFonts w:hint="eastAsia"/>
        </w:rPr>
        <w:t>10. 需要补充的其他内容</w:t>
      </w:r>
      <w:bookmarkEnd w:id="215"/>
      <w:bookmarkEnd w:id="216"/>
      <w:bookmarkEnd w:id="217"/>
      <w:bookmarkEnd w:id="218"/>
    </w:p>
    <w:p>
      <w:pPr>
        <w:pStyle w:val="63"/>
        <w:rPr>
          <w:rFonts w:ascii="宋体" w:hAnsi="宋体" w:cs="Arial"/>
          <w:szCs w:val="21"/>
        </w:rPr>
      </w:pPr>
      <w:r>
        <w:rPr>
          <w:rFonts w:hint="eastAsia" w:ascii="宋体" w:hAnsi="宋体" w:cs="Arial"/>
          <w:szCs w:val="21"/>
        </w:rPr>
        <w:t>10.1财务要求：见投标人须知前附表。</w:t>
      </w:r>
    </w:p>
    <w:p>
      <w:pPr>
        <w:pStyle w:val="63"/>
        <w:rPr>
          <w:rFonts w:ascii="宋体" w:hAnsi="宋体" w:cs="Arial"/>
          <w:szCs w:val="21"/>
        </w:rPr>
      </w:pPr>
      <w:r>
        <w:rPr>
          <w:rFonts w:hint="eastAsia" w:ascii="宋体" w:hAnsi="宋体" w:cs="Arial"/>
          <w:szCs w:val="21"/>
        </w:rPr>
        <w:t>10.2业绩证明材料提供的要求</w:t>
      </w:r>
    </w:p>
    <w:p>
      <w:pPr>
        <w:spacing w:line="400" w:lineRule="exact"/>
        <w:ind w:firstLine="420" w:firstLineChars="200"/>
        <w:rPr>
          <w:rFonts w:ascii="宋体" w:hAnsi="宋体"/>
        </w:rPr>
      </w:pPr>
      <w:r>
        <w:rPr>
          <w:rFonts w:hint="eastAsia" w:ascii="宋体" w:hAnsi="宋体"/>
        </w:rPr>
        <w:t>（1）企业业绩证明材料应提供中标通知书或合同复印件，否则该业绩证明不予认可。</w:t>
      </w:r>
    </w:p>
    <w:p>
      <w:pPr>
        <w:spacing w:line="400" w:lineRule="exact"/>
        <w:ind w:firstLine="420" w:firstLineChars="200"/>
        <w:rPr>
          <w:rFonts w:ascii="宋体" w:hAnsi="宋体"/>
        </w:rPr>
      </w:pPr>
      <w:r>
        <w:rPr>
          <w:rFonts w:hint="eastAsia" w:ascii="宋体" w:hAnsi="宋体"/>
        </w:rPr>
        <w:t>（2）业绩证明时间以中标通知书签发或合同签订时间为准。</w:t>
      </w:r>
    </w:p>
    <w:p>
      <w:pPr>
        <w:spacing w:line="400" w:lineRule="exact"/>
        <w:ind w:firstLine="527" w:firstLineChars="250"/>
        <w:rPr>
          <w:rFonts w:ascii="宋体" w:hAnsi="宋体"/>
          <w:color w:val="FF0000"/>
        </w:rPr>
      </w:pPr>
      <w:r>
        <w:rPr>
          <w:rFonts w:hint="eastAsia" w:ascii="宋体" w:hAnsi="宋体"/>
          <w:b/>
          <w:color w:val="FF0000"/>
          <w:szCs w:val="21"/>
        </w:rPr>
        <w:t>若发现中标候选人弄虚作假将取消中标资格，招标人可以按照评标委员会提出的中标候选人名单排序依次确定其他中标候选人为中标人，也可以重新招标。</w:t>
      </w:r>
    </w:p>
    <w:p>
      <w:pPr>
        <w:pStyle w:val="63"/>
        <w:rPr>
          <w:rFonts w:ascii="宋体" w:hAnsi="宋体" w:cs="Arial"/>
          <w:szCs w:val="21"/>
        </w:rPr>
      </w:pPr>
      <w:r>
        <w:rPr>
          <w:rFonts w:hint="eastAsia" w:ascii="宋体" w:hAnsi="宋体" w:cs="Arial"/>
          <w:szCs w:val="21"/>
        </w:rPr>
        <w:t>10.3投标人信誉要求</w:t>
      </w:r>
    </w:p>
    <w:p>
      <w:pPr>
        <w:spacing w:line="400" w:lineRule="exact"/>
        <w:ind w:firstLine="420" w:firstLineChars="200"/>
        <w:rPr>
          <w:rFonts w:ascii="宋体" w:hAnsi="宋体"/>
        </w:rPr>
      </w:pPr>
      <w:r>
        <w:rPr>
          <w:rFonts w:hint="eastAsia" w:ascii="宋体" w:hAnsi="宋体"/>
        </w:rPr>
        <w:t>在投标截止时间当日</w:t>
      </w:r>
      <w:r>
        <w:rPr>
          <w:rFonts w:ascii="宋体" w:hAnsi="宋体"/>
        </w:rPr>
        <w:t>投标人</w:t>
      </w:r>
      <w:r>
        <w:rPr>
          <w:rFonts w:hint="eastAsia"/>
        </w:rPr>
        <w:t>未列入失信被执行人、重大税收违法案件当事人名单、政府采购严重违法失信行为记录名单。（以“信用中国”网站（www.creditchina.gov.cn）、“中国政府采购网”（www.ccgp.gov.cn）查询结果为准）</w:t>
      </w:r>
      <w:r>
        <w:rPr>
          <w:rFonts w:ascii="宋体" w:hAnsi="宋体"/>
        </w:rPr>
        <w:t>。</w:t>
      </w:r>
    </w:p>
    <w:p>
      <w:pPr>
        <w:pStyle w:val="63"/>
        <w:rPr>
          <w:rFonts w:ascii="宋体" w:hAnsi="宋体" w:cs="Arial"/>
          <w:szCs w:val="21"/>
        </w:rPr>
      </w:pPr>
      <w:r>
        <w:rPr>
          <w:rFonts w:hint="eastAsia"/>
        </w:rPr>
        <w:t>10.4</w:t>
      </w:r>
      <w:r>
        <w:rPr>
          <w:rFonts w:hint="eastAsia" w:ascii="宋体" w:hAnsi="宋体" w:cs="Arial"/>
          <w:szCs w:val="21"/>
        </w:rPr>
        <w:t>参加答辩（不适用）</w:t>
      </w:r>
    </w:p>
    <w:p>
      <w:pPr>
        <w:pStyle w:val="63"/>
      </w:pPr>
      <w:r>
        <w:rPr>
          <w:rFonts w:hint="eastAsia"/>
        </w:rPr>
        <w:t>10.5项目负责人</w:t>
      </w:r>
      <w:r>
        <w:t>到场</w:t>
      </w:r>
      <w:r>
        <w:rPr>
          <w:rFonts w:hint="eastAsia"/>
        </w:rPr>
        <w:t>的规定</w:t>
      </w:r>
      <w:r>
        <w:rPr>
          <w:rFonts w:hint="eastAsia" w:ascii="宋体" w:hAnsi="宋体" w:cs="Arial"/>
          <w:szCs w:val="21"/>
        </w:rPr>
        <w:t>（不适用）</w:t>
      </w:r>
    </w:p>
    <w:p>
      <w:pPr>
        <w:pStyle w:val="63"/>
      </w:pPr>
      <w:r>
        <w:rPr>
          <w:rFonts w:hint="eastAsia"/>
        </w:rPr>
        <w:t>10.6招标、评标、中标无效</w:t>
      </w:r>
    </w:p>
    <w:p>
      <w:pPr>
        <w:snapToGrid w:val="0"/>
        <w:spacing w:line="400" w:lineRule="exact"/>
        <w:ind w:firstLine="420" w:firstLineChars="200"/>
        <w:rPr>
          <w:rFonts w:ascii="宋体" w:hAnsi="宋体" w:cs="Arial"/>
        </w:rPr>
      </w:pPr>
      <w:r>
        <w:t>依法必须进行招标的项目的招标投标活动违反招标投标法和招标投标法实施条例的规定，对中标结果造成实质性影响，且不能采取补救措施予以纠正的，招标、投标、中标无效，应当依法重新招标或者评标。</w:t>
      </w:r>
    </w:p>
    <w:p>
      <w:pPr>
        <w:pStyle w:val="63"/>
      </w:pPr>
      <w:r>
        <w:rPr>
          <w:rFonts w:hint="eastAsia"/>
        </w:rPr>
        <w:t>10.7</w:t>
      </w:r>
      <w:r>
        <w:t>创文明施工标准化工地要求</w:t>
      </w:r>
      <w:r>
        <w:rPr>
          <w:rFonts w:hint="eastAsia" w:ascii="宋体" w:hAnsi="宋体" w:cs="Arial"/>
          <w:szCs w:val="21"/>
        </w:rPr>
        <w:t>（不适用）</w:t>
      </w:r>
    </w:p>
    <w:p>
      <w:pPr>
        <w:pStyle w:val="63"/>
      </w:pPr>
      <w:r>
        <w:rPr>
          <w:rFonts w:hint="eastAsia"/>
        </w:rPr>
        <w:t>10.8</w:t>
      </w:r>
      <w:r>
        <w:t>串通投标行为的认定</w:t>
      </w:r>
    </w:p>
    <w:p>
      <w:pPr>
        <w:snapToGrid w:val="0"/>
        <w:spacing w:line="400" w:lineRule="exact"/>
        <w:ind w:firstLine="430" w:firstLineChars="205"/>
        <w:jc w:val="left"/>
      </w:pPr>
      <w:r>
        <w:rPr>
          <w:rFonts w:hint="eastAsia"/>
        </w:rPr>
        <w:t>有下列情形之一的，属于串通投标行为：</w:t>
      </w:r>
    </w:p>
    <w:p>
      <w:pPr>
        <w:numPr>
          <w:ilvl w:val="0"/>
          <w:numId w:val="4"/>
        </w:numPr>
        <w:snapToGrid w:val="0"/>
        <w:spacing w:line="400" w:lineRule="exact"/>
        <w:jc w:val="left"/>
      </w:pPr>
      <w:r>
        <w:t>投标人之间协商投标报价等投标文件的实质性内容；</w:t>
      </w:r>
    </w:p>
    <w:p>
      <w:pPr>
        <w:numPr>
          <w:ilvl w:val="0"/>
          <w:numId w:val="4"/>
        </w:numPr>
        <w:adjustRightInd w:val="0"/>
        <w:snapToGrid w:val="0"/>
        <w:spacing w:line="400" w:lineRule="exact"/>
        <w:jc w:val="left"/>
      </w:pPr>
      <w:r>
        <w:t>投标人之间约定中标人；</w:t>
      </w:r>
    </w:p>
    <w:p>
      <w:pPr>
        <w:numPr>
          <w:ilvl w:val="0"/>
          <w:numId w:val="4"/>
        </w:numPr>
        <w:adjustRightInd w:val="0"/>
        <w:snapToGrid w:val="0"/>
        <w:spacing w:line="400" w:lineRule="exact"/>
        <w:jc w:val="left"/>
      </w:pPr>
      <w:r>
        <w:t>投标人之间约定部分投标人放弃投标或者中标；</w:t>
      </w:r>
    </w:p>
    <w:p>
      <w:pPr>
        <w:numPr>
          <w:ilvl w:val="0"/>
          <w:numId w:val="4"/>
        </w:numPr>
        <w:adjustRightInd w:val="0"/>
        <w:snapToGrid w:val="0"/>
        <w:spacing w:line="400" w:lineRule="exact"/>
        <w:jc w:val="left"/>
      </w:pPr>
      <w:r>
        <w:t>属于同一集团、协会、商会等组织成员的投标人按照该组织要求协同投标；</w:t>
      </w:r>
    </w:p>
    <w:p>
      <w:pPr>
        <w:numPr>
          <w:ilvl w:val="0"/>
          <w:numId w:val="4"/>
        </w:numPr>
        <w:adjustRightInd w:val="0"/>
        <w:snapToGrid w:val="0"/>
        <w:spacing w:line="400" w:lineRule="exact"/>
        <w:jc w:val="left"/>
      </w:pPr>
      <w:r>
        <w:t>投标人之间为谋取中标或者排斥特定投标人而采取的其他联合行动。</w:t>
      </w:r>
    </w:p>
    <w:p>
      <w:pPr>
        <w:numPr>
          <w:ilvl w:val="0"/>
          <w:numId w:val="4"/>
        </w:numPr>
        <w:adjustRightInd w:val="0"/>
        <w:snapToGrid w:val="0"/>
        <w:spacing w:line="400" w:lineRule="exact"/>
        <w:jc w:val="left"/>
      </w:pPr>
      <w:r>
        <w:t>不同投标人</w:t>
      </w:r>
      <w:r>
        <w:rPr>
          <w:rFonts w:hint="eastAsia"/>
        </w:rPr>
        <w:t>的投标文件由同一单位或者个人</w:t>
      </w:r>
      <w:r>
        <w:t>；</w:t>
      </w:r>
    </w:p>
    <w:p>
      <w:pPr>
        <w:numPr>
          <w:ilvl w:val="0"/>
          <w:numId w:val="4"/>
        </w:numPr>
        <w:adjustRightInd w:val="0"/>
        <w:snapToGrid w:val="0"/>
        <w:spacing w:line="400" w:lineRule="exact"/>
        <w:jc w:val="left"/>
      </w:pPr>
      <w:r>
        <w:t>不同投标人委</w:t>
      </w:r>
      <w:r>
        <w:rPr>
          <w:rFonts w:hint="eastAsia"/>
        </w:rPr>
        <w:t>托同一单位或者个人办理投标事宜；</w:t>
      </w:r>
    </w:p>
    <w:p>
      <w:pPr>
        <w:numPr>
          <w:ilvl w:val="0"/>
          <w:numId w:val="4"/>
        </w:numPr>
        <w:adjustRightInd w:val="0"/>
        <w:snapToGrid w:val="0"/>
        <w:spacing w:line="400" w:lineRule="exact"/>
        <w:jc w:val="left"/>
      </w:pPr>
      <w:r>
        <w:t>不同投标人</w:t>
      </w:r>
      <w:r>
        <w:rPr>
          <w:rFonts w:hint="eastAsia"/>
        </w:rPr>
        <w:t>的投标文件载明的项目管理成员为同一人</w:t>
      </w:r>
      <w:r>
        <w:t>；</w:t>
      </w:r>
    </w:p>
    <w:p>
      <w:pPr>
        <w:numPr>
          <w:ilvl w:val="0"/>
          <w:numId w:val="4"/>
        </w:numPr>
        <w:adjustRightInd w:val="0"/>
        <w:snapToGrid w:val="0"/>
        <w:spacing w:line="400" w:lineRule="exact"/>
        <w:jc w:val="left"/>
      </w:pPr>
      <w:r>
        <w:t>不同投标人的投标文件</w:t>
      </w:r>
      <w:r>
        <w:rPr>
          <w:rFonts w:hint="eastAsia"/>
        </w:rPr>
        <w:t>异常一致或者投标报价呈规律性差异；</w:t>
      </w:r>
    </w:p>
    <w:p>
      <w:pPr>
        <w:adjustRightInd w:val="0"/>
        <w:snapToGrid w:val="0"/>
        <w:spacing w:line="400" w:lineRule="exact"/>
        <w:ind w:firstLine="315" w:firstLineChars="150"/>
        <w:jc w:val="left"/>
      </w:pPr>
      <w:r>
        <w:rPr>
          <w:rFonts w:hint="eastAsia"/>
        </w:rPr>
        <w:t>（10）</w:t>
      </w:r>
      <w:r>
        <w:t>不同投标人的</w:t>
      </w:r>
      <w:r>
        <w:rPr>
          <w:rFonts w:hint="eastAsia"/>
        </w:rPr>
        <w:t>投标文件相互混装</w:t>
      </w:r>
      <w:r>
        <w:t>；</w:t>
      </w:r>
    </w:p>
    <w:p>
      <w:pPr>
        <w:tabs>
          <w:tab w:val="left" w:pos="900"/>
        </w:tabs>
        <w:adjustRightInd w:val="0"/>
        <w:snapToGrid w:val="0"/>
        <w:spacing w:line="400" w:lineRule="exact"/>
        <w:ind w:firstLine="315" w:firstLineChars="150"/>
        <w:jc w:val="left"/>
      </w:pPr>
      <w:r>
        <w:rPr>
          <w:rFonts w:hint="eastAsia"/>
        </w:rPr>
        <w:t>（11）</w:t>
      </w:r>
      <w:r>
        <w:t>不同投标人的投标</w:t>
      </w:r>
      <w:r>
        <w:rPr>
          <w:rFonts w:hint="eastAsia"/>
        </w:rPr>
        <w:t>金从同一单位或者个人的账户转出</w:t>
      </w:r>
      <w:r>
        <w:t>；</w:t>
      </w:r>
    </w:p>
    <w:p>
      <w:pPr>
        <w:tabs>
          <w:tab w:val="left" w:pos="900"/>
        </w:tabs>
        <w:adjustRightInd w:val="0"/>
        <w:snapToGrid w:val="0"/>
        <w:spacing w:line="400" w:lineRule="exact"/>
        <w:ind w:firstLine="315" w:firstLineChars="150"/>
        <w:jc w:val="left"/>
      </w:pPr>
      <w:r>
        <w:rPr>
          <w:rFonts w:hint="eastAsia"/>
        </w:rPr>
        <w:t>（12）</w:t>
      </w:r>
      <w:r>
        <w:t>招标人在开标前开启投标文件并将有关信息泄露给其他投标人；</w:t>
      </w:r>
    </w:p>
    <w:p>
      <w:pPr>
        <w:tabs>
          <w:tab w:val="left" w:pos="900"/>
        </w:tabs>
        <w:adjustRightInd w:val="0"/>
        <w:snapToGrid w:val="0"/>
        <w:spacing w:line="400" w:lineRule="exact"/>
        <w:ind w:firstLine="315" w:firstLineChars="150"/>
        <w:jc w:val="left"/>
      </w:pPr>
      <w:r>
        <w:rPr>
          <w:rFonts w:hint="eastAsia"/>
        </w:rPr>
        <w:t>（13）</w:t>
      </w:r>
      <w:r>
        <w:t>招标人直接或者间接向投标人泄露标底、评标委员会成员等信息；</w:t>
      </w:r>
    </w:p>
    <w:p>
      <w:pPr>
        <w:tabs>
          <w:tab w:val="left" w:pos="900"/>
        </w:tabs>
        <w:adjustRightInd w:val="0"/>
        <w:snapToGrid w:val="0"/>
        <w:spacing w:line="400" w:lineRule="exact"/>
        <w:ind w:firstLine="315" w:firstLineChars="150"/>
        <w:jc w:val="left"/>
      </w:pPr>
      <w:r>
        <w:rPr>
          <w:rFonts w:hint="eastAsia"/>
        </w:rPr>
        <w:t>（14）</w:t>
      </w:r>
      <w:r>
        <w:t>招标人明示或者暗示投标人压低或者抬高投标报价；</w:t>
      </w:r>
    </w:p>
    <w:p>
      <w:pPr>
        <w:tabs>
          <w:tab w:val="left" w:pos="900"/>
        </w:tabs>
        <w:adjustRightInd w:val="0"/>
        <w:snapToGrid w:val="0"/>
        <w:spacing w:line="400" w:lineRule="exact"/>
        <w:ind w:firstLine="315" w:firstLineChars="150"/>
        <w:jc w:val="left"/>
      </w:pPr>
      <w:r>
        <w:rPr>
          <w:rFonts w:hint="eastAsia"/>
        </w:rPr>
        <w:t>（15）</w:t>
      </w:r>
      <w:r>
        <w:t>招标人授意投标人撤换、修改投标文件；</w:t>
      </w:r>
    </w:p>
    <w:p>
      <w:pPr>
        <w:tabs>
          <w:tab w:val="left" w:pos="900"/>
        </w:tabs>
        <w:adjustRightInd w:val="0"/>
        <w:snapToGrid w:val="0"/>
        <w:spacing w:line="400" w:lineRule="exact"/>
        <w:ind w:firstLine="315" w:firstLineChars="150"/>
        <w:jc w:val="left"/>
      </w:pPr>
      <w:r>
        <w:rPr>
          <w:rFonts w:hint="eastAsia"/>
        </w:rPr>
        <w:t>（16）</w:t>
      </w:r>
      <w:r>
        <w:t>招标人明示或者暗示投标人为特定投标人中标提供方便；</w:t>
      </w:r>
    </w:p>
    <w:p>
      <w:pPr>
        <w:tabs>
          <w:tab w:val="left" w:pos="900"/>
        </w:tabs>
        <w:adjustRightInd w:val="0"/>
        <w:snapToGrid w:val="0"/>
        <w:spacing w:line="400" w:lineRule="exact"/>
        <w:ind w:firstLine="315" w:firstLineChars="150"/>
        <w:jc w:val="left"/>
      </w:pPr>
      <w:r>
        <w:rPr>
          <w:rFonts w:hint="eastAsia"/>
        </w:rPr>
        <w:t>（17）</w:t>
      </w:r>
      <w:r>
        <w:t>招标人与投标人为谋求特定投标人中标而采取的其他串通行为；</w:t>
      </w:r>
    </w:p>
    <w:p>
      <w:pPr>
        <w:pStyle w:val="63"/>
      </w:pPr>
      <w:r>
        <w:rPr>
          <w:rFonts w:hint="eastAsia"/>
        </w:rPr>
        <w:t>10.9弄虚作假投标行为的认定</w:t>
      </w:r>
    </w:p>
    <w:p>
      <w:pPr>
        <w:snapToGrid w:val="0"/>
        <w:spacing w:line="400" w:lineRule="exact"/>
        <w:ind w:firstLine="420" w:firstLineChars="200"/>
        <w:rPr>
          <w:rFonts w:ascii="宋体" w:hAnsi="宋体" w:cs="Arial"/>
        </w:rPr>
      </w:pPr>
      <w:r>
        <w:rPr>
          <w:rFonts w:ascii="宋体" w:hAnsi="宋体" w:cs="Arial"/>
        </w:rPr>
        <w:t>（1）使用通过受让或者租借等方式获取的资格、资质证书投标的，属于招标投标法第三十三条规定的以他人名义投标。</w:t>
      </w:r>
    </w:p>
    <w:p>
      <w:pPr>
        <w:snapToGrid w:val="0"/>
        <w:spacing w:line="400" w:lineRule="exact"/>
        <w:ind w:firstLine="420" w:firstLineChars="200"/>
        <w:rPr>
          <w:rFonts w:ascii="宋体" w:hAnsi="宋体" w:cs="Arial"/>
        </w:rPr>
      </w:pPr>
      <w:r>
        <w:rPr>
          <w:rFonts w:ascii="宋体" w:hAnsi="宋体" w:cs="Arial"/>
        </w:rPr>
        <w:t>（2）投标人有下列情形之一的，属于招标投标法第三十三条规定的以其他方式弄虚作假的行为：</w:t>
      </w:r>
    </w:p>
    <w:p>
      <w:pPr>
        <w:snapToGrid w:val="0"/>
        <w:spacing w:line="400" w:lineRule="exact"/>
        <w:ind w:firstLine="420" w:firstLineChars="200"/>
        <w:rPr>
          <w:rFonts w:ascii="宋体" w:hAnsi="宋体" w:cs="Arial"/>
        </w:rPr>
      </w:pPr>
      <w:r>
        <w:rPr>
          <w:rFonts w:ascii="宋体" w:hAnsi="宋体" w:cs="Arial"/>
        </w:rPr>
        <w:t>①使用伪造、变造的许可证件；</w:t>
      </w:r>
    </w:p>
    <w:p>
      <w:pPr>
        <w:snapToGrid w:val="0"/>
        <w:spacing w:line="400" w:lineRule="exact"/>
        <w:ind w:firstLine="420" w:firstLineChars="200"/>
        <w:rPr>
          <w:rFonts w:ascii="宋体" w:hAnsi="宋体" w:cs="Arial"/>
        </w:rPr>
      </w:pPr>
      <w:r>
        <w:rPr>
          <w:rFonts w:ascii="宋体" w:hAnsi="宋体" w:cs="Arial"/>
        </w:rPr>
        <w:t>②提供虚假的财务状况或者业绩；</w:t>
      </w:r>
    </w:p>
    <w:p>
      <w:pPr>
        <w:snapToGrid w:val="0"/>
        <w:spacing w:line="400" w:lineRule="exact"/>
        <w:ind w:firstLine="420" w:firstLineChars="200"/>
        <w:rPr>
          <w:rFonts w:ascii="宋体" w:hAnsi="宋体" w:cs="Arial"/>
        </w:rPr>
      </w:pPr>
      <w:r>
        <w:rPr>
          <w:rFonts w:ascii="宋体" w:hAnsi="宋体" w:cs="Arial"/>
        </w:rPr>
        <w:t>③提供虚假的项目经理或者主要技术人员简历、劳动关系证明；</w:t>
      </w:r>
    </w:p>
    <w:p>
      <w:pPr>
        <w:snapToGrid w:val="0"/>
        <w:spacing w:line="400" w:lineRule="exact"/>
        <w:ind w:firstLine="420" w:firstLineChars="200"/>
        <w:rPr>
          <w:rFonts w:ascii="宋体" w:hAnsi="宋体" w:cs="Arial"/>
        </w:rPr>
      </w:pPr>
      <w:r>
        <w:rPr>
          <w:rFonts w:ascii="宋体" w:hAnsi="宋体" w:cs="Arial"/>
        </w:rPr>
        <w:t>④提供虚假的信用状况；</w:t>
      </w:r>
    </w:p>
    <w:p>
      <w:pPr>
        <w:snapToGrid w:val="0"/>
        <w:spacing w:line="400" w:lineRule="exact"/>
        <w:ind w:firstLine="420" w:firstLineChars="200"/>
        <w:rPr>
          <w:rFonts w:ascii="宋体" w:hAnsi="宋体" w:cs="Arial"/>
        </w:rPr>
      </w:pPr>
      <w:r>
        <w:rPr>
          <w:rFonts w:ascii="宋体" w:hAnsi="宋体" w:cs="Arial"/>
        </w:rPr>
        <w:t>⑤其他弄虚作假的行为。</w:t>
      </w:r>
    </w:p>
    <w:p>
      <w:pPr>
        <w:pStyle w:val="56"/>
        <w:jc w:val="center"/>
        <w:rPr>
          <w:rFonts w:ascii="黑体" w:hAnsi="黑体"/>
          <w:b/>
          <w:bCs/>
          <w:sz w:val="30"/>
          <w:szCs w:val="30"/>
        </w:rPr>
      </w:pPr>
      <w:r>
        <w:br w:type="page"/>
      </w:r>
      <w:bookmarkStart w:id="219" w:name="_Toc361338287"/>
      <w:bookmarkStart w:id="220" w:name="_Toc152042375"/>
      <w:bookmarkStart w:id="221" w:name="_Toc144974565"/>
      <w:bookmarkStart w:id="222" w:name="_Toc152045598"/>
      <w:r>
        <w:rPr>
          <w:rFonts w:hint="eastAsia"/>
          <w:sz w:val="30"/>
          <w:szCs w:val="30"/>
        </w:rPr>
        <w:t>第三章 评标办法（综合评估法）</w:t>
      </w:r>
      <w:bookmarkEnd w:id="219"/>
      <w:bookmarkEnd w:id="220"/>
      <w:bookmarkEnd w:id="221"/>
      <w:bookmarkEnd w:id="222"/>
    </w:p>
    <w:p>
      <w:pPr>
        <w:pStyle w:val="56"/>
      </w:pPr>
      <w:bookmarkStart w:id="223" w:name="_Toc152042376"/>
      <w:bookmarkStart w:id="224" w:name="_Toc361338288"/>
      <w:bookmarkStart w:id="225" w:name="_Toc152045599"/>
      <w:bookmarkStart w:id="226" w:name="_Toc144974566"/>
      <w:r>
        <w:rPr>
          <w:rFonts w:hint="eastAsia"/>
        </w:rPr>
        <w:t>评标办法前附表</w:t>
      </w:r>
      <w:bookmarkEnd w:id="223"/>
      <w:bookmarkEnd w:id="224"/>
      <w:bookmarkEnd w:id="225"/>
      <w:bookmarkEnd w:id="226"/>
    </w:p>
    <w:p>
      <w:pPr>
        <w:snapToGrid w:val="0"/>
        <w:spacing w:line="20" w:lineRule="exact"/>
      </w:pPr>
    </w:p>
    <w:tbl>
      <w:tblPr>
        <w:tblStyle w:val="32"/>
        <w:tblW w:w="96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457"/>
        <w:gridCol w:w="7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0" w:hRule="atLeast"/>
          <w:tblHeader/>
          <w:jc w:val="center"/>
        </w:trPr>
        <w:tc>
          <w:tcPr>
            <w:tcW w:w="1131"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center"/>
              <w:rPr>
                <w:b/>
                <w:szCs w:val="21"/>
              </w:rPr>
            </w:pPr>
            <w:r>
              <w:rPr>
                <w:b/>
                <w:szCs w:val="21"/>
              </w:rPr>
              <w:t>条款号</w:t>
            </w: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center"/>
              <w:rPr>
                <w:b/>
                <w:szCs w:val="21"/>
              </w:rPr>
            </w:pPr>
            <w:r>
              <w:rPr>
                <w:b/>
                <w:szCs w:val="21"/>
              </w:rPr>
              <w:t>评审因素</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center"/>
              <w:rPr>
                <w:b/>
                <w:szCs w:val="21"/>
              </w:rPr>
            </w:pPr>
            <w:r>
              <w:rPr>
                <w:b/>
                <w:szCs w:val="21"/>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1131"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ind w:left="113" w:right="113"/>
              <w:jc w:val="center"/>
              <w:rPr>
                <w:b/>
                <w:szCs w:val="21"/>
              </w:rPr>
            </w:pPr>
            <w:r>
              <w:rPr>
                <w:b/>
                <w:szCs w:val="21"/>
              </w:rPr>
              <w:t>2.1.1</w:t>
            </w:r>
          </w:p>
          <w:p>
            <w:pPr>
              <w:tabs>
                <w:tab w:val="left" w:pos="482"/>
                <w:tab w:val="left" w:pos="2183"/>
                <w:tab w:val="left" w:pos="3884"/>
                <w:tab w:val="left" w:pos="5585"/>
              </w:tabs>
              <w:autoSpaceDE w:val="0"/>
              <w:autoSpaceDN w:val="0"/>
              <w:snapToGrid w:val="0"/>
              <w:ind w:left="113" w:right="113"/>
              <w:jc w:val="center"/>
              <w:rPr>
                <w:b/>
                <w:szCs w:val="21"/>
              </w:rPr>
            </w:pPr>
            <w:r>
              <w:rPr>
                <w:b/>
                <w:szCs w:val="21"/>
              </w:rPr>
              <w:t>形</w:t>
            </w:r>
          </w:p>
          <w:p>
            <w:pPr>
              <w:tabs>
                <w:tab w:val="left" w:pos="482"/>
                <w:tab w:val="left" w:pos="2183"/>
                <w:tab w:val="left" w:pos="3884"/>
                <w:tab w:val="left" w:pos="5585"/>
              </w:tabs>
              <w:autoSpaceDE w:val="0"/>
              <w:autoSpaceDN w:val="0"/>
              <w:snapToGrid w:val="0"/>
              <w:ind w:left="113" w:right="113"/>
              <w:jc w:val="center"/>
              <w:rPr>
                <w:b/>
                <w:szCs w:val="21"/>
              </w:rPr>
            </w:pPr>
            <w:r>
              <w:rPr>
                <w:b/>
                <w:szCs w:val="21"/>
              </w:rPr>
              <w:t>式</w:t>
            </w:r>
          </w:p>
          <w:p>
            <w:pPr>
              <w:tabs>
                <w:tab w:val="left" w:pos="482"/>
                <w:tab w:val="left" w:pos="2183"/>
                <w:tab w:val="left" w:pos="3884"/>
                <w:tab w:val="left" w:pos="5585"/>
              </w:tabs>
              <w:autoSpaceDE w:val="0"/>
              <w:autoSpaceDN w:val="0"/>
              <w:snapToGrid w:val="0"/>
              <w:ind w:left="113" w:right="113"/>
              <w:jc w:val="center"/>
              <w:rPr>
                <w:b/>
                <w:szCs w:val="21"/>
              </w:rPr>
            </w:pPr>
            <w:r>
              <w:rPr>
                <w:b/>
                <w:szCs w:val="21"/>
              </w:rPr>
              <w:t>评</w:t>
            </w:r>
          </w:p>
          <w:p>
            <w:pPr>
              <w:tabs>
                <w:tab w:val="left" w:pos="482"/>
                <w:tab w:val="left" w:pos="2183"/>
                <w:tab w:val="left" w:pos="3884"/>
                <w:tab w:val="left" w:pos="5585"/>
              </w:tabs>
              <w:autoSpaceDE w:val="0"/>
              <w:autoSpaceDN w:val="0"/>
              <w:snapToGrid w:val="0"/>
              <w:ind w:left="113" w:right="113"/>
              <w:jc w:val="center"/>
              <w:rPr>
                <w:b/>
                <w:szCs w:val="21"/>
              </w:rPr>
            </w:pPr>
            <w:r>
              <w:rPr>
                <w:b/>
                <w:szCs w:val="21"/>
              </w:rPr>
              <w:t>审</w:t>
            </w:r>
          </w:p>
          <w:p>
            <w:pPr>
              <w:tabs>
                <w:tab w:val="left" w:pos="482"/>
                <w:tab w:val="left" w:pos="2183"/>
                <w:tab w:val="left" w:pos="3884"/>
                <w:tab w:val="left" w:pos="5585"/>
              </w:tabs>
              <w:autoSpaceDE w:val="0"/>
              <w:autoSpaceDN w:val="0"/>
              <w:snapToGrid w:val="0"/>
              <w:ind w:left="113" w:right="113"/>
              <w:jc w:val="center"/>
              <w:rPr>
                <w:b/>
                <w:szCs w:val="21"/>
              </w:rPr>
            </w:pPr>
            <w:r>
              <w:rPr>
                <w:b/>
                <w:szCs w:val="21"/>
              </w:rPr>
              <w:t>标</w:t>
            </w:r>
          </w:p>
          <w:p>
            <w:pPr>
              <w:tabs>
                <w:tab w:val="left" w:pos="482"/>
                <w:tab w:val="left" w:pos="2183"/>
                <w:tab w:val="left" w:pos="3884"/>
                <w:tab w:val="left" w:pos="5585"/>
              </w:tabs>
              <w:autoSpaceDE w:val="0"/>
              <w:autoSpaceDN w:val="0"/>
              <w:snapToGrid w:val="0"/>
              <w:ind w:left="113" w:right="113"/>
              <w:jc w:val="center"/>
              <w:rPr>
                <w:b/>
                <w:szCs w:val="21"/>
              </w:rPr>
            </w:pPr>
            <w:r>
              <w:rPr>
                <w:b/>
                <w:szCs w:val="21"/>
              </w:rPr>
              <w:t>准</w:t>
            </w: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center"/>
              <w:rPr>
                <w:b/>
                <w:szCs w:val="21"/>
              </w:rPr>
            </w:pPr>
            <w:r>
              <w:rPr>
                <w:b/>
                <w:szCs w:val="21"/>
              </w:rPr>
              <w:t>投标人名称</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rPr>
                <w:b/>
                <w:szCs w:val="21"/>
              </w:rPr>
            </w:pPr>
            <w:r>
              <w:rPr>
                <w:b/>
                <w:szCs w:val="2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1131" w:type="dxa"/>
            <w:vMerge w:val="continue"/>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ind w:left="113" w:right="113"/>
              <w:jc w:val="center"/>
              <w:rPr>
                <w:b/>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center"/>
              <w:rPr>
                <w:b/>
                <w:szCs w:val="21"/>
              </w:rPr>
            </w:pPr>
            <w:r>
              <w:rPr>
                <w:b/>
                <w:szCs w:val="21"/>
              </w:rPr>
              <w:t>投标文件签字盖章</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rPr>
                <w:b/>
                <w:szCs w:val="21"/>
              </w:rPr>
            </w:pPr>
            <w:r>
              <w:rPr>
                <w:b/>
                <w:szCs w:val="21"/>
              </w:rPr>
              <w:t>符合第二章“投标人须知”第3.6.3项规定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widowControl/>
              <w:tabs>
                <w:tab w:val="left" w:pos="482"/>
                <w:tab w:val="left" w:pos="2183"/>
                <w:tab w:val="left" w:pos="3884"/>
                <w:tab w:val="left" w:pos="5585"/>
              </w:tabs>
              <w:snapToGrid w:val="0"/>
              <w:jc w:val="left"/>
              <w:rPr>
                <w:b/>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ind w:left="-90" w:leftChars="-43" w:right="-97" w:rightChars="-46"/>
              <w:jc w:val="center"/>
              <w:rPr>
                <w:b/>
                <w:szCs w:val="21"/>
              </w:rPr>
            </w:pPr>
            <w:r>
              <w:rPr>
                <w:b/>
                <w:szCs w:val="21"/>
              </w:rPr>
              <w:t>报价唯一</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rPr>
                <w:b/>
                <w:szCs w:val="21"/>
              </w:rPr>
            </w:pPr>
            <w:r>
              <w:rPr>
                <w:b/>
                <w:szCs w:val="21"/>
              </w:rPr>
              <w:t>只能有一个有效报价，出现下列情形之一，作否决其投标处理：</w:t>
            </w:r>
          </w:p>
          <w:p>
            <w:pPr>
              <w:tabs>
                <w:tab w:val="left" w:pos="482"/>
                <w:tab w:val="left" w:pos="2183"/>
                <w:tab w:val="left" w:pos="3884"/>
                <w:tab w:val="left" w:pos="5585"/>
              </w:tabs>
              <w:snapToGrid w:val="0"/>
              <w:rPr>
                <w:b/>
                <w:szCs w:val="21"/>
              </w:rPr>
            </w:pPr>
            <w:r>
              <w:rPr>
                <w:b/>
                <w:szCs w:val="21"/>
              </w:rPr>
              <w:t>1、投标人递交两份或多份内容不同的投标文件；</w:t>
            </w:r>
          </w:p>
          <w:p>
            <w:pPr>
              <w:tabs>
                <w:tab w:val="left" w:pos="482"/>
                <w:tab w:val="left" w:pos="2183"/>
                <w:tab w:val="left" w:pos="3884"/>
                <w:tab w:val="left" w:pos="5585"/>
              </w:tabs>
              <w:snapToGrid w:val="0"/>
              <w:rPr>
                <w:b/>
                <w:szCs w:val="21"/>
              </w:rPr>
            </w:pPr>
            <w:r>
              <w:rPr>
                <w:b/>
                <w:szCs w:val="21"/>
              </w:rPr>
              <w:t>2、在一份投标文件中对同一招标项目报价有两个或多个报价，且未声明哪一个有效（大小写、正副本不一致除外）；</w:t>
            </w:r>
          </w:p>
          <w:p>
            <w:pPr>
              <w:tabs>
                <w:tab w:val="left" w:pos="482"/>
                <w:tab w:val="left" w:pos="2183"/>
                <w:tab w:val="left" w:pos="3884"/>
                <w:tab w:val="left" w:pos="5585"/>
              </w:tabs>
              <w:snapToGrid w:val="0"/>
              <w:rPr>
                <w:b/>
                <w:szCs w:val="21"/>
              </w:rPr>
            </w:pPr>
            <w:r>
              <w:rPr>
                <w:b/>
                <w:szCs w:val="21"/>
              </w:rPr>
              <w:t>3、投标文件中投标函上的报价与投标总价上的报价不一致；</w:t>
            </w:r>
          </w:p>
          <w:p>
            <w:pPr>
              <w:tabs>
                <w:tab w:val="left" w:pos="482"/>
                <w:tab w:val="left" w:pos="2183"/>
                <w:tab w:val="left" w:pos="3884"/>
                <w:tab w:val="left" w:pos="5585"/>
              </w:tabs>
              <w:snapToGrid w:val="0"/>
              <w:rPr>
                <w:b/>
                <w:szCs w:val="21"/>
              </w:rPr>
            </w:pPr>
            <w:r>
              <w:rPr>
                <w:b/>
                <w:szCs w:val="21"/>
              </w:rPr>
              <w:t>4、商务标中未提供投标函或提供的投标函无有效投标报价；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widowControl/>
              <w:tabs>
                <w:tab w:val="left" w:pos="482"/>
                <w:tab w:val="left" w:pos="2183"/>
                <w:tab w:val="left" w:pos="3884"/>
                <w:tab w:val="left" w:pos="5585"/>
              </w:tabs>
              <w:snapToGrid w:val="0"/>
              <w:jc w:val="left"/>
              <w:rPr>
                <w:b/>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center"/>
              <w:rPr>
                <w:b/>
                <w:szCs w:val="21"/>
              </w:rPr>
            </w:pPr>
            <w:r>
              <w:rPr>
                <w:b/>
                <w:szCs w:val="21"/>
              </w:rPr>
              <w:t>投标文件的密封和标记</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rPr>
                <w:b/>
                <w:szCs w:val="21"/>
              </w:rPr>
            </w:pPr>
            <w:r>
              <w:rPr>
                <w:b/>
                <w:szCs w:val="21"/>
              </w:rPr>
              <w:t>符合第二章“投标人须知”第4.1款要求。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7" w:hRule="atLeast"/>
          <w:tblHeader/>
          <w:jc w:val="center"/>
        </w:trPr>
        <w:tc>
          <w:tcPr>
            <w:tcW w:w="1131"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ind w:left="113" w:right="113"/>
              <w:jc w:val="center"/>
              <w:rPr>
                <w:b/>
                <w:szCs w:val="21"/>
              </w:rPr>
            </w:pPr>
            <w:r>
              <w:rPr>
                <w:b/>
                <w:szCs w:val="21"/>
              </w:rPr>
              <w:t>2.1.2</w:t>
            </w:r>
          </w:p>
          <w:p>
            <w:pPr>
              <w:tabs>
                <w:tab w:val="left" w:pos="482"/>
                <w:tab w:val="left" w:pos="2183"/>
                <w:tab w:val="left" w:pos="3884"/>
                <w:tab w:val="left" w:pos="5585"/>
              </w:tabs>
              <w:autoSpaceDE w:val="0"/>
              <w:autoSpaceDN w:val="0"/>
              <w:snapToGrid w:val="0"/>
              <w:ind w:left="113" w:right="113"/>
              <w:jc w:val="center"/>
              <w:rPr>
                <w:b/>
                <w:szCs w:val="21"/>
              </w:rPr>
            </w:pPr>
            <w:r>
              <w:rPr>
                <w:b/>
                <w:szCs w:val="21"/>
              </w:rPr>
              <w:t>资</w:t>
            </w:r>
          </w:p>
          <w:p>
            <w:pPr>
              <w:tabs>
                <w:tab w:val="left" w:pos="482"/>
                <w:tab w:val="left" w:pos="2183"/>
                <w:tab w:val="left" w:pos="3884"/>
                <w:tab w:val="left" w:pos="5585"/>
              </w:tabs>
              <w:autoSpaceDE w:val="0"/>
              <w:autoSpaceDN w:val="0"/>
              <w:snapToGrid w:val="0"/>
              <w:ind w:left="113" w:right="113"/>
              <w:jc w:val="center"/>
              <w:rPr>
                <w:b/>
                <w:szCs w:val="21"/>
              </w:rPr>
            </w:pPr>
            <w:r>
              <w:rPr>
                <w:b/>
                <w:szCs w:val="21"/>
              </w:rPr>
              <w:t>格</w:t>
            </w:r>
          </w:p>
          <w:p>
            <w:pPr>
              <w:tabs>
                <w:tab w:val="left" w:pos="482"/>
                <w:tab w:val="left" w:pos="2183"/>
                <w:tab w:val="left" w:pos="3884"/>
                <w:tab w:val="left" w:pos="5585"/>
              </w:tabs>
              <w:autoSpaceDE w:val="0"/>
              <w:autoSpaceDN w:val="0"/>
              <w:snapToGrid w:val="0"/>
              <w:ind w:left="113" w:right="113"/>
              <w:jc w:val="center"/>
              <w:rPr>
                <w:b/>
                <w:szCs w:val="21"/>
              </w:rPr>
            </w:pPr>
            <w:r>
              <w:rPr>
                <w:b/>
                <w:szCs w:val="21"/>
              </w:rPr>
              <w:t>评</w:t>
            </w:r>
          </w:p>
          <w:p>
            <w:pPr>
              <w:tabs>
                <w:tab w:val="left" w:pos="482"/>
                <w:tab w:val="left" w:pos="2183"/>
                <w:tab w:val="left" w:pos="3884"/>
                <w:tab w:val="left" w:pos="5585"/>
              </w:tabs>
              <w:autoSpaceDE w:val="0"/>
              <w:autoSpaceDN w:val="0"/>
              <w:snapToGrid w:val="0"/>
              <w:ind w:left="113" w:right="113"/>
              <w:jc w:val="center"/>
              <w:rPr>
                <w:b/>
                <w:szCs w:val="21"/>
              </w:rPr>
            </w:pPr>
            <w:r>
              <w:rPr>
                <w:b/>
                <w:szCs w:val="21"/>
              </w:rPr>
              <w:t>审</w:t>
            </w:r>
          </w:p>
          <w:p>
            <w:pPr>
              <w:tabs>
                <w:tab w:val="left" w:pos="482"/>
                <w:tab w:val="left" w:pos="2183"/>
                <w:tab w:val="left" w:pos="3884"/>
                <w:tab w:val="left" w:pos="5585"/>
              </w:tabs>
              <w:autoSpaceDE w:val="0"/>
              <w:autoSpaceDN w:val="0"/>
              <w:snapToGrid w:val="0"/>
              <w:ind w:left="113" w:right="113"/>
              <w:jc w:val="center"/>
              <w:rPr>
                <w:b/>
                <w:szCs w:val="21"/>
              </w:rPr>
            </w:pPr>
            <w:r>
              <w:rPr>
                <w:b/>
                <w:szCs w:val="21"/>
              </w:rPr>
              <w:t>标</w:t>
            </w:r>
          </w:p>
          <w:p>
            <w:pPr>
              <w:tabs>
                <w:tab w:val="left" w:pos="482"/>
                <w:tab w:val="left" w:pos="2183"/>
                <w:tab w:val="left" w:pos="3884"/>
                <w:tab w:val="left" w:pos="5585"/>
              </w:tabs>
              <w:autoSpaceDE w:val="0"/>
              <w:autoSpaceDN w:val="0"/>
              <w:snapToGrid w:val="0"/>
              <w:ind w:left="113" w:right="113"/>
              <w:jc w:val="center"/>
              <w:rPr>
                <w:b/>
                <w:szCs w:val="21"/>
              </w:rPr>
            </w:pPr>
            <w:r>
              <w:rPr>
                <w:b/>
                <w:szCs w:val="21"/>
              </w:rPr>
              <w:t>准</w:t>
            </w: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center"/>
              <w:rPr>
                <w:b/>
                <w:szCs w:val="21"/>
              </w:rPr>
            </w:pPr>
            <w:r>
              <w:rPr>
                <w:b/>
                <w:szCs w:val="21"/>
              </w:rPr>
              <w:t>营业执照</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rPr>
                <w:b/>
                <w:szCs w:val="21"/>
              </w:rPr>
            </w:pPr>
            <w:r>
              <w:rPr>
                <w:b/>
                <w:szCs w:val="21"/>
              </w:rPr>
              <w:t>具备有效的营业执照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widowControl/>
              <w:tabs>
                <w:tab w:val="left" w:pos="482"/>
                <w:tab w:val="left" w:pos="2183"/>
                <w:tab w:val="left" w:pos="3884"/>
                <w:tab w:val="left" w:pos="5585"/>
              </w:tabs>
              <w:snapToGrid w:val="0"/>
              <w:jc w:val="left"/>
              <w:rPr>
                <w:b/>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center"/>
              <w:rPr>
                <w:b/>
                <w:szCs w:val="21"/>
              </w:rPr>
            </w:pPr>
            <w:r>
              <w:rPr>
                <w:b/>
                <w:szCs w:val="21"/>
              </w:rPr>
              <w:t>资格条件</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rPr>
                <w:b/>
                <w:szCs w:val="21"/>
              </w:rPr>
            </w:pPr>
            <w:r>
              <w:rPr>
                <w:b/>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widowControl/>
              <w:tabs>
                <w:tab w:val="left" w:pos="482"/>
                <w:tab w:val="left" w:pos="2183"/>
                <w:tab w:val="left" w:pos="3884"/>
                <w:tab w:val="left" w:pos="5585"/>
              </w:tabs>
              <w:snapToGrid w:val="0"/>
              <w:jc w:val="left"/>
              <w:rPr>
                <w:b/>
                <w:szCs w:val="21"/>
              </w:rPr>
            </w:pPr>
          </w:p>
        </w:tc>
        <w:tc>
          <w:tcPr>
            <w:tcW w:w="1457" w:type="dxa"/>
            <w:tcBorders>
              <w:top w:val="single" w:color="auto" w:sz="4" w:space="0"/>
              <w:left w:val="single" w:color="auto" w:sz="4" w:space="0"/>
              <w:bottom w:val="single" w:color="auto" w:sz="4" w:space="0"/>
              <w:right w:val="single" w:color="auto" w:sz="4" w:space="0"/>
            </w:tcBorders>
          </w:tcPr>
          <w:p>
            <w:pPr>
              <w:tabs>
                <w:tab w:val="left" w:pos="482"/>
                <w:tab w:val="left" w:pos="2183"/>
                <w:tab w:val="left" w:pos="3884"/>
                <w:tab w:val="left" w:pos="5585"/>
              </w:tabs>
              <w:snapToGrid w:val="0"/>
              <w:jc w:val="center"/>
              <w:rPr>
                <w:b/>
                <w:szCs w:val="21"/>
              </w:rPr>
            </w:pPr>
            <w:r>
              <w:rPr>
                <w:b/>
                <w:szCs w:val="21"/>
              </w:rPr>
              <w:t>安全生产许可证（如有）</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rPr>
                <w:b/>
                <w:szCs w:val="21"/>
              </w:rPr>
            </w:pPr>
            <w:r>
              <w:rPr>
                <w:rFonts w:hint="eastAsia"/>
                <w:b/>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widowControl/>
              <w:tabs>
                <w:tab w:val="left" w:pos="482"/>
                <w:tab w:val="left" w:pos="2183"/>
                <w:tab w:val="left" w:pos="3884"/>
                <w:tab w:val="left" w:pos="5585"/>
              </w:tabs>
              <w:snapToGrid w:val="0"/>
              <w:jc w:val="left"/>
              <w:rPr>
                <w:b/>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center"/>
              <w:rPr>
                <w:b/>
                <w:szCs w:val="21"/>
              </w:rPr>
            </w:pPr>
            <w:r>
              <w:rPr>
                <w:b/>
                <w:szCs w:val="21"/>
              </w:rPr>
              <w:t>信誉</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rPr>
                <w:b/>
                <w:szCs w:val="21"/>
              </w:rPr>
            </w:pPr>
            <w:r>
              <w:rPr>
                <w:b/>
                <w:szCs w:val="21"/>
              </w:rPr>
              <w:t>符合第二章“投标人须知”第10.1项规定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widowControl/>
              <w:tabs>
                <w:tab w:val="left" w:pos="482"/>
                <w:tab w:val="left" w:pos="2183"/>
                <w:tab w:val="left" w:pos="3884"/>
                <w:tab w:val="left" w:pos="5585"/>
              </w:tabs>
              <w:snapToGrid w:val="0"/>
              <w:jc w:val="left"/>
              <w:rPr>
                <w:b/>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center"/>
              <w:rPr>
                <w:b/>
                <w:szCs w:val="21"/>
              </w:rPr>
            </w:pPr>
            <w:r>
              <w:rPr>
                <w:b/>
                <w:szCs w:val="21"/>
              </w:rPr>
              <w:t>项目负责人（如有）</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rPr>
                <w:b/>
                <w:szCs w:val="21"/>
              </w:rPr>
            </w:pPr>
            <w:r>
              <w:rPr>
                <w:b/>
                <w:szCs w:val="21"/>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widowControl/>
              <w:tabs>
                <w:tab w:val="left" w:pos="482"/>
                <w:tab w:val="left" w:pos="2183"/>
                <w:tab w:val="left" w:pos="3884"/>
                <w:tab w:val="left" w:pos="5585"/>
              </w:tabs>
              <w:snapToGrid w:val="0"/>
              <w:jc w:val="left"/>
              <w:rPr>
                <w:b/>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jc w:val="center"/>
              <w:rPr>
                <w:b/>
                <w:szCs w:val="21"/>
              </w:rPr>
            </w:pPr>
            <w:r>
              <w:rPr>
                <w:b/>
                <w:szCs w:val="21"/>
              </w:rPr>
              <w:t>投标人情况</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rPr>
                <w:b/>
                <w:szCs w:val="21"/>
              </w:rPr>
            </w:pPr>
            <w:r>
              <w:rPr>
                <w:b/>
                <w:szCs w:val="21"/>
              </w:rPr>
              <w:t>符合第二章“投标人须知”第1.4.3项规定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widowControl/>
              <w:tabs>
                <w:tab w:val="left" w:pos="482"/>
                <w:tab w:val="left" w:pos="2183"/>
                <w:tab w:val="left" w:pos="3884"/>
                <w:tab w:val="left" w:pos="5585"/>
              </w:tabs>
              <w:snapToGrid w:val="0"/>
              <w:jc w:val="left"/>
              <w:rPr>
                <w:b/>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jc w:val="center"/>
              <w:rPr>
                <w:b/>
                <w:szCs w:val="21"/>
              </w:rPr>
            </w:pPr>
            <w:r>
              <w:rPr>
                <w:b/>
                <w:szCs w:val="21"/>
              </w:rPr>
              <w:t>串通投标行为</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left"/>
              <w:rPr>
                <w:b/>
                <w:szCs w:val="21"/>
              </w:rPr>
            </w:pPr>
            <w:r>
              <w:rPr>
                <w:b/>
                <w:szCs w:val="21"/>
              </w:rPr>
              <w:t>符合第二章“投标人须知”第10.3款规定的任何一种情形的否决其投标。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widowControl/>
              <w:tabs>
                <w:tab w:val="left" w:pos="482"/>
                <w:tab w:val="left" w:pos="2183"/>
                <w:tab w:val="left" w:pos="3884"/>
                <w:tab w:val="left" w:pos="5585"/>
              </w:tabs>
              <w:snapToGrid w:val="0"/>
              <w:jc w:val="left"/>
              <w:rPr>
                <w:b/>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jc w:val="center"/>
              <w:rPr>
                <w:b/>
                <w:szCs w:val="21"/>
              </w:rPr>
            </w:pPr>
            <w:r>
              <w:rPr>
                <w:b/>
                <w:szCs w:val="21"/>
              </w:rPr>
              <w:t>弄虚作假行为</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left"/>
              <w:rPr>
                <w:b/>
                <w:szCs w:val="21"/>
              </w:rPr>
            </w:pPr>
            <w:r>
              <w:rPr>
                <w:b/>
                <w:szCs w:val="21"/>
              </w:rPr>
              <w:t>符合第二章“投标人须知”第10.6.2项规定的任何一种情形的否决其投标。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widowControl/>
              <w:tabs>
                <w:tab w:val="left" w:pos="482"/>
                <w:tab w:val="left" w:pos="2183"/>
                <w:tab w:val="left" w:pos="3884"/>
                <w:tab w:val="left" w:pos="5585"/>
              </w:tabs>
              <w:snapToGrid w:val="0"/>
              <w:jc w:val="left"/>
              <w:rPr>
                <w:b/>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ind w:left="-115" w:leftChars="-55" w:right="-84" w:rightChars="-40"/>
              <w:jc w:val="center"/>
              <w:rPr>
                <w:b/>
                <w:szCs w:val="21"/>
              </w:rPr>
            </w:pPr>
            <w:r>
              <w:rPr>
                <w:b/>
                <w:szCs w:val="21"/>
              </w:rPr>
              <w:t>联合体投标人</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4020"/>
                <w:tab w:val="left" w:pos="5585"/>
              </w:tabs>
              <w:autoSpaceDE w:val="0"/>
              <w:autoSpaceDN w:val="0"/>
              <w:snapToGrid w:val="0"/>
              <w:rPr>
                <w:b/>
                <w:szCs w:val="21"/>
              </w:rPr>
            </w:pPr>
            <w:r>
              <w:rPr>
                <w:rFonts w:hint="eastAsia"/>
                <w:b/>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1131"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ind w:right="113"/>
              <w:jc w:val="center"/>
              <w:rPr>
                <w:b/>
                <w:szCs w:val="21"/>
              </w:rPr>
            </w:pPr>
            <w:r>
              <w:rPr>
                <w:b/>
                <w:szCs w:val="21"/>
              </w:rPr>
              <w:t>2.1.3</w:t>
            </w:r>
          </w:p>
          <w:p>
            <w:pPr>
              <w:tabs>
                <w:tab w:val="left" w:pos="482"/>
                <w:tab w:val="left" w:pos="2183"/>
                <w:tab w:val="left" w:pos="3884"/>
                <w:tab w:val="left" w:pos="5585"/>
              </w:tabs>
              <w:autoSpaceDE w:val="0"/>
              <w:autoSpaceDN w:val="0"/>
              <w:snapToGrid w:val="0"/>
              <w:ind w:right="113"/>
              <w:jc w:val="center"/>
              <w:rPr>
                <w:b/>
                <w:szCs w:val="21"/>
              </w:rPr>
            </w:pPr>
            <w:r>
              <w:rPr>
                <w:b/>
                <w:szCs w:val="21"/>
              </w:rPr>
              <w:t xml:space="preserve"> 响</w:t>
            </w:r>
          </w:p>
          <w:p>
            <w:pPr>
              <w:tabs>
                <w:tab w:val="left" w:pos="482"/>
                <w:tab w:val="left" w:pos="2183"/>
                <w:tab w:val="left" w:pos="3884"/>
                <w:tab w:val="left" w:pos="5585"/>
              </w:tabs>
              <w:autoSpaceDE w:val="0"/>
              <w:autoSpaceDN w:val="0"/>
              <w:snapToGrid w:val="0"/>
              <w:ind w:left="113" w:right="113"/>
              <w:jc w:val="center"/>
              <w:rPr>
                <w:b/>
                <w:szCs w:val="21"/>
              </w:rPr>
            </w:pPr>
            <w:r>
              <w:rPr>
                <w:b/>
                <w:szCs w:val="21"/>
              </w:rPr>
              <w:t>应</w:t>
            </w:r>
          </w:p>
          <w:p>
            <w:pPr>
              <w:tabs>
                <w:tab w:val="left" w:pos="482"/>
                <w:tab w:val="left" w:pos="2183"/>
                <w:tab w:val="left" w:pos="3884"/>
                <w:tab w:val="left" w:pos="5585"/>
              </w:tabs>
              <w:autoSpaceDE w:val="0"/>
              <w:autoSpaceDN w:val="0"/>
              <w:snapToGrid w:val="0"/>
              <w:ind w:left="113" w:right="113"/>
              <w:jc w:val="center"/>
              <w:rPr>
                <w:b/>
                <w:szCs w:val="21"/>
              </w:rPr>
            </w:pPr>
            <w:r>
              <w:rPr>
                <w:b/>
                <w:szCs w:val="21"/>
              </w:rPr>
              <w:t>性</w:t>
            </w:r>
          </w:p>
          <w:p>
            <w:pPr>
              <w:tabs>
                <w:tab w:val="left" w:pos="482"/>
                <w:tab w:val="left" w:pos="2183"/>
                <w:tab w:val="left" w:pos="3884"/>
                <w:tab w:val="left" w:pos="5585"/>
              </w:tabs>
              <w:autoSpaceDE w:val="0"/>
              <w:autoSpaceDN w:val="0"/>
              <w:snapToGrid w:val="0"/>
              <w:ind w:left="113" w:right="113"/>
              <w:jc w:val="center"/>
              <w:rPr>
                <w:b/>
                <w:szCs w:val="21"/>
              </w:rPr>
            </w:pPr>
            <w:r>
              <w:rPr>
                <w:b/>
                <w:szCs w:val="21"/>
              </w:rPr>
              <w:t>评</w:t>
            </w:r>
          </w:p>
          <w:p>
            <w:pPr>
              <w:tabs>
                <w:tab w:val="left" w:pos="482"/>
                <w:tab w:val="left" w:pos="2183"/>
                <w:tab w:val="left" w:pos="3884"/>
                <w:tab w:val="left" w:pos="5585"/>
              </w:tabs>
              <w:autoSpaceDE w:val="0"/>
              <w:autoSpaceDN w:val="0"/>
              <w:snapToGrid w:val="0"/>
              <w:ind w:left="113" w:right="113"/>
              <w:jc w:val="center"/>
              <w:rPr>
                <w:b/>
                <w:szCs w:val="21"/>
              </w:rPr>
            </w:pPr>
            <w:r>
              <w:rPr>
                <w:b/>
                <w:szCs w:val="21"/>
              </w:rPr>
              <w:t>审</w:t>
            </w:r>
          </w:p>
          <w:p>
            <w:pPr>
              <w:tabs>
                <w:tab w:val="left" w:pos="482"/>
                <w:tab w:val="left" w:pos="2183"/>
                <w:tab w:val="left" w:pos="3884"/>
                <w:tab w:val="left" w:pos="5585"/>
              </w:tabs>
              <w:autoSpaceDE w:val="0"/>
              <w:autoSpaceDN w:val="0"/>
              <w:snapToGrid w:val="0"/>
              <w:ind w:left="113" w:right="113"/>
              <w:jc w:val="center"/>
              <w:rPr>
                <w:b/>
                <w:szCs w:val="21"/>
              </w:rPr>
            </w:pPr>
            <w:r>
              <w:rPr>
                <w:b/>
                <w:szCs w:val="21"/>
              </w:rPr>
              <w:t>标</w:t>
            </w:r>
          </w:p>
          <w:p>
            <w:pPr>
              <w:tabs>
                <w:tab w:val="left" w:pos="482"/>
                <w:tab w:val="left" w:pos="2183"/>
                <w:tab w:val="left" w:pos="3884"/>
                <w:tab w:val="left" w:pos="5585"/>
              </w:tabs>
              <w:autoSpaceDE w:val="0"/>
              <w:autoSpaceDN w:val="0"/>
              <w:snapToGrid w:val="0"/>
              <w:ind w:left="113" w:right="113"/>
              <w:jc w:val="center"/>
              <w:rPr>
                <w:b/>
                <w:szCs w:val="21"/>
              </w:rPr>
            </w:pPr>
            <w:r>
              <w:rPr>
                <w:b/>
                <w:szCs w:val="21"/>
              </w:rPr>
              <w:t>准</w:t>
            </w: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center"/>
              <w:rPr>
                <w:b/>
                <w:szCs w:val="21"/>
              </w:rPr>
            </w:pPr>
            <w:r>
              <w:rPr>
                <w:b/>
                <w:szCs w:val="21"/>
              </w:rPr>
              <w:t>投标内容</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rPr>
                <w:b/>
                <w:szCs w:val="21"/>
              </w:rPr>
            </w:pPr>
            <w:r>
              <w:rPr>
                <w:b/>
                <w:szCs w:val="21"/>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ind w:left="113" w:right="113"/>
              <w:jc w:val="center"/>
              <w:rPr>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center"/>
              <w:rPr>
                <w:b/>
                <w:szCs w:val="21"/>
              </w:rPr>
            </w:pPr>
            <w:r>
              <w:rPr>
                <w:b/>
                <w:szCs w:val="21"/>
              </w:rPr>
              <w:t>总工期</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rPr>
                <w:b/>
                <w:szCs w:val="21"/>
              </w:rPr>
            </w:pPr>
            <w:r>
              <w:rPr>
                <w:b/>
                <w:szCs w:val="21"/>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widowControl/>
              <w:tabs>
                <w:tab w:val="left" w:pos="482"/>
                <w:tab w:val="left" w:pos="2183"/>
                <w:tab w:val="left" w:pos="3884"/>
                <w:tab w:val="left" w:pos="5585"/>
              </w:tabs>
              <w:snapToGrid w:val="0"/>
              <w:jc w:val="left"/>
              <w:rPr>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jc w:val="center"/>
              <w:rPr>
                <w:b/>
                <w:szCs w:val="21"/>
              </w:rPr>
            </w:pPr>
            <w:r>
              <w:rPr>
                <w:b/>
                <w:szCs w:val="21"/>
              </w:rPr>
              <w:t>技术标准和要求</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rPr>
                <w:b/>
                <w:szCs w:val="21"/>
              </w:rPr>
            </w:pPr>
            <w:r>
              <w:rPr>
                <w:b/>
                <w:szCs w:val="21"/>
              </w:rPr>
              <w:t>符合</w:t>
            </w:r>
            <w:r>
              <w:rPr>
                <w:rFonts w:hint="eastAsia"/>
                <w:b/>
                <w:szCs w:val="21"/>
              </w:rPr>
              <w:t>第五章</w:t>
            </w:r>
            <w:r>
              <w:rPr>
                <w:b/>
                <w:szCs w:val="21"/>
              </w:rPr>
              <w:t>“</w:t>
            </w:r>
            <w:r>
              <w:rPr>
                <w:rFonts w:hint="eastAsia"/>
                <w:b/>
                <w:szCs w:val="21"/>
              </w:rPr>
              <w:t>招标内容</w:t>
            </w:r>
            <w:r>
              <w:rPr>
                <w:b/>
                <w:szCs w:val="21"/>
              </w:rPr>
              <w:t>”规定的实质款条件（加</w:t>
            </w:r>
            <w:r>
              <w:rPr>
                <w:rFonts w:hAnsi="宋体"/>
                <w:b/>
                <w:szCs w:val="21"/>
              </w:rPr>
              <w:t>★</w:t>
            </w:r>
            <w:r>
              <w:rPr>
                <w:b/>
                <w:szCs w:val="21"/>
              </w:rPr>
              <w:t>的条款为实质性条款）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widowControl/>
              <w:tabs>
                <w:tab w:val="left" w:pos="482"/>
                <w:tab w:val="left" w:pos="2183"/>
                <w:tab w:val="left" w:pos="3884"/>
                <w:tab w:val="left" w:pos="5585"/>
              </w:tabs>
              <w:snapToGrid w:val="0"/>
              <w:jc w:val="left"/>
              <w:rPr>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jc w:val="center"/>
              <w:rPr>
                <w:b/>
                <w:szCs w:val="21"/>
              </w:rPr>
            </w:pPr>
            <w:r>
              <w:rPr>
                <w:b/>
                <w:szCs w:val="21"/>
              </w:rPr>
              <w:t>投标报价</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rPr>
                <w:b/>
                <w:szCs w:val="21"/>
              </w:rPr>
            </w:pPr>
            <w:r>
              <w:rPr>
                <w:b/>
                <w:szCs w:val="21"/>
              </w:rPr>
              <w:t>投标报价不得超过招标人设定的拦标价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1131" w:type="dxa"/>
            <w:vMerge w:val="continue"/>
            <w:tcBorders>
              <w:left w:val="single" w:color="auto" w:sz="4" w:space="0"/>
              <w:right w:val="single" w:color="auto" w:sz="4" w:space="0"/>
            </w:tcBorders>
            <w:vAlign w:val="center"/>
          </w:tcPr>
          <w:p>
            <w:pPr>
              <w:widowControl/>
              <w:tabs>
                <w:tab w:val="left" w:pos="482"/>
                <w:tab w:val="left" w:pos="2183"/>
                <w:tab w:val="left" w:pos="3884"/>
                <w:tab w:val="left" w:pos="5585"/>
              </w:tabs>
              <w:snapToGrid w:val="0"/>
              <w:jc w:val="left"/>
              <w:rPr>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jc w:val="center"/>
              <w:rPr>
                <w:b/>
                <w:szCs w:val="21"/>
              </w:rPr>
            </w:pPr>
            <w:r>
              <w:rPr>
                <w:b/>
                <w:szCs w:val="21"/>
              </w:rPr>
              <w:t>投标承诺</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rPr>
                <w:b/>
                <w:szCs w:val="21"/>
              </w:rPr>
            </w:pPr>
            <w:r>
              <w:rPr>
                <w:b/>
                <w:szCs w:val="21"/>
              </w:rPr>
              <w:t>未按要求提供承诺书或违反承诺书中约定的,</w:t>
            </w:r>
            <w:r>
              <w:rPr>
                <w:b/>
                <w:bCs/>
                <w:szCs w:val="21"/>
              </w:rPr>
              <w:t>否决其投标</w:t>
            </w:r>
            <w:r>
              <w:rPr>
                <w:b/>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37" w:hRule="atLeast"/>
          <w:tblHeader/>
          <w:jc w:val="center"/>
        </w:trPr>
        <w:tc>
          <w:tcPr>
            <w:tcW w:w="1131"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ind w:left="113" w:right="113"/>
              <w:jc w:val="center"/>
              <w:rPr>
                <w:szCs w:val="21"/>
              </w:rPr>
            </w:pPr>
            <w:r>
              <w:rPr>
                <w:szCs w:val="21"/>
              </w:rPr>
              <w:t>2.2.1</w:t>
            </w: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jc w:val="center"/>
              <w:rPr>
                <w:szCs w:val="21"/>
              </w:rPr>
            </w:pPr>
            <w:r>
              <w:rPr>
                <w:szCs w:val="21"/>
              </w:rPr>
              <w:t>分值构成</w:t>
            </w:r>
          </w:p>
          <w:p>
            <w:pPr>
              <w:tabs>
                <w:tab w:val="left" w:pos="482"/>
                <w:tab w:val="left" w:pos="2183"/>
                <w:tab w:val="left" w:pos="3884"/>
                <w:tab w:val="left" w:pos="5585"/>
              </w:tabs>
              <w:snapToGrid w:val="0"/>
              <w:rPr>
                <w:szCs w:val="21"/>
              </w:rPr>
            </w:pPr>
            <w:r>
              <w:rPr>
                <w:szCs w:val="21"/>
              </w:rPr>
              <w:t>(总分100分)</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rPr>
                <w:szCs w:val="21"/>
              </w:rPr>
            </w:pPr>
            <w:r>
              <w:rPr>
                <w:szCs w:val="21"/>
              </w:rPr>
              <w:t>（1）技术资信标：</w:t>
            </w:r>
            <w:r>
              <w:rPr>
                <w:rFonts w:hint="eastAsia"/>
                <w:szCs w:val="21"/>
                <w:u w:val="single"/>
              </w:rPr>
              <w:t>4</w:t>
            </w:r>
            <w:r>
              <w:rPr>
                <w:szCs w:val="21"/>
                <w:u w:val="single"/>
              </w:rPr>
              <w:t>0</w:t>
            </w:r>
            <w:r>
              <w:rPr>
                <w:szCs w:val="21"/>
              </w:rPr>
              <w:t>分；</w:t>
            </w:r>
          </w:p>
          <w:p>
            <w:pPr>
              <w:tabs>
                <w:tab w:val="left" w:pos="482"/>
                <w:tab w:val="left" w:pos="2183"/>
                <w:tab w:val="left" w:pos="3884"/>
                <w:tab w:val="left" w:pos="5585"/>
              </w:tabs>
              <w:snapToGrid w:val="0"/>
              <w:rPr>
                <w:szCs w:val="21"/>
              </w:rPr>
            </w:pPr>
            <w:r>
              <w:rPr>
                <w:szCs w:val="21"/>
              </w:rPr>
              <w:t>（2）商务标：</w:t>
            </w:r>
            <w:r>
              <w:rPr>
                <w:rFonts w:hint="eastAsia"/>
                <w:szCs w:val="21"/>
                <w:u w:val="single"/>
              </w:rPr>
              <w:t>6</w:t>
            </w:r>
            <w:r>
              <w:rPr>
                <w:szCs w:val="21"/>
                <w:u w:val="single"/>
              </w:rPr>
              <w:t>0</w:t>
            </w:r>
            <w:r>
              <w:rPr>
                <w:szCs w:val="21"/>
              </w:rPr>
              <w:t>分；</w:t>
            </w:r>
          </w:p>
          <w:p>
            <w:pPr>
              <w:tabs>
                <w:tab w:val="left" w:pos="482"/>
                <w:tab w:val="left" w:pos="2183"/>
                <w:tab w:val="left" w:pos="3884"/>
                <w:tab w:val="left" w:pos="5585"/>
              </w:tabs>
              <w:snapToGrid w:val="0"/>
              <w:rPr>
                <w:szCs w:val="21"/>
              </w:rPr>
            </w:pPr>
            <w:r>
              <w:rPr>
                <w:szCs w:val="21"/>
              </w:rPr>
              <w:t>（3）其他评分因素：</w:t>
            </w:r>
            <w:r>
              <w:rPr>
                <w:szCs w:val="21"/>
                <w:u w:val="single"/>
              </w:rPr>
              <w:t>0</w:t>
            </w:r>
            <w:r>
              <w:rPr>
                <w:szCs w:val="21"/>
              </w:rPr>
              <w:t>分。</w:t>
            </w:r>
          </w:p>
        </w:tc>
      </w:tr>
    </w:tbl>
    <w:p>
      <w:pPr>
        <w:tabs>
          <w:tab w:val="left" w:pos="482"/>
          <w:tab w:val="left" w:pos="2183"/>
          <w:tab w:val="left" w:pos="3884"/>
          <w:tab w:val="left" w:pos="5585"/>
        </w:tabs>
        <w:autoSpaceDE w:val="0"/>
        <w:autoSpaceDN w:val="0"/>
        <w:spacing w:line="360" w:lineRule="auto"/>
        <w:rPr>
          <w:rFonts w:hAnsi="Arial"/>
          <w:szCs w:val="21"/>
        </w:rPr>
      </w:pPr>
    </w:p>
    <w:tbl>
      <w:tblPr>
        <w:tblStyle w:val="32"/>
        <w:tblpPr w:leftFromText="180" w:rightFromText="180" w:vertAnchor="text" w:horzAnchor="page" w:tblpX="1347" w:tblpY="533"/>
        <w:tblOverlap w:val="never"/>
        <w:tblW w:w="9582" w:type="dxa"/>
        <w:tblInd w:w="0" w:type="dxa"/>
        <w:tblLayout w:type="fixed"/>
        <w:tblCellMar>
          <w:top w:w="0" w:type="dxa"/>
          <w:left w:w="108" w:type="dxa"/>
          <w:bottom w:w="0" w:type="dxa"/>
          <w:right w:w="108" w:type="dxa"/>
        </w:tblCellMar>
      </w:tblPr>
      <w:tblGrid>
        <w:gridCol w:w="479"/>
        <w:gridCol w:w="2342"/>
        <w:gridCol w:w="666"/>
        <w:gridCol w:w="1897"/>
        <w:gridCol w:w="2189"/>
        <w:gridCol w:w="2009"/>
      </w:tblGrid>
      <w:tr>
        <w:tblPrEx>
          <w:tblLayout w:type="fixed"/>
          <w:tblCellMar>
            <w:top w:w="0" w:type="dxa"/>
            <w:left w:w="108" w:type="dxa"/>
            <w:bottom w:w="0" w:type="dxa"/>
            <w:right w:w="108" w:type="dxa"/>
          </w:tblCellMar>
        </w:tblPrEx>
        <w:trPr>
          <w:cantSplit/>
          <w:trHeight w:val="454" w:hRule="atLeast"/>
        </w:trPr>
        <w:tc>
          <w:tcPr>
            <w:tcW w:w="479"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autoSpaceDE w:val="0"/>
              <w:autoSpaceDN w:val="0"/>
              <w:spacing w:line="320" w:lineRule="exact"/>
              <w:jc w:val="center"/>
              <w:rPr>
                <w:b/>
                <w:bCs/>
                <w:szCs w:val="21"/>
              </w:rPr>
            </w:pPr>
            <w:r>
              <w:rPr>
                <w:rFonts w:hint="eastAsia"/>
                <w:b/>
                <w:bCs/>
                <w:szCs w:val="21"/>
              </w:rPr>
              <w:t>序号</w:t>
            </w:r>
          </w:p>
        </w:tc>
        <w:tc>
          <w:tcPr>
            <w:tcW w:w="2342"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autoSpaceDE w:val="0"/>
              <w:autoSpaceDN w:val="0"/>
              <w:spacing w:line="320" w:lineRule="exact"/>
              <w:jc w:val="center"/>
              <w:rPr>
                <w:b/>
                <w:bCs/>
                <w:szCs w:val="21"/>
              </w:rPr>
            </w:pPr>
            <w:r>
              <w:rPr>
                <w:b/>
                <w:bCs/>
                <w:szCs w:val="21"/>
              </w:rPr>
              <w:t>评审因素</w:t>
            </w:r>
          </w:p>
        </w:tc>
        <w:tc>
          <w:tcPr>
            <w:tcW w:w="6761" w:type="dxa"/>
            <w:gridSpan w:val="4"/>
            <w:tcBorders>
              <w:top w:val="single" w:color="auto" w:sz="4" w:space="0"/>
              <w:left w:val="nil"/>
              <w:bottom w:val="single" w:color="auto" w:sz="4" w:space="0"/>
              <w:right w:val="single" w:color="auto" w:sz="4" w:space="0"/>
            </w:tcBorders>
            <w:vAlign w:val="center"/>
          </w:tcPr>
          <w:p>
            <w:pPr>
              <w:widowControl/>
              <w:tabs>
                <w:tab w:val="left" w:pos="482"/>
                <w:tab w:val="left" w:pos="2183"/>
                <w:tab w:val="left" w:pos="3884"/>
                <w:tab w:val="left" w:pos="5585"/>
              </w:tabs>
              <w:snapToGrid w:val="0"/>
              <w:spacing w:line="320" w:lineRule="exact"/>
              <w:jc w:val="center"/>
              <w:rPr>
                <w:szCs w:val="21"/>
              </w:rPr>
            </w:pPr>
            <w:r>
              <w:rPr>
                <w:b/>
                <w:bCs/>
                <w:szCs w:val="21"/>
              </w:rPr>
              <w:t>评 审 标 准</w:t>
            </w:r>
          </w:p>
        </w:tc>
      </w:tr>
      <w:tr>
        <w:tblPrEx>
          <w:tblLayout w:type="fixed"/>
          <w:tblCellMar>
            <w:top w:w="0" w:type="dxa"/>
            <w:left w:w="108" w:type="dxa"/>
            <w:bottom w:w="0" w:type="dxa"/>
            <w:right w:w="108" w:type="dxa"/>
          </w:tblCellMar>
        </w:tblPrEx>
        <w:trPr>
          <w:cantSplit/>
          <w:trHeight w:val="454" w:hRule="atLeast"/>
        </w:trPr>
        <w:tc>
          <w:tcPr>
            <w:tcW w:w="479" w:type="dxa"/>
            <w:vMerge w:val="continue"/>
            <w:tcBorders>
              <w:left w:val="single" w:color="auto" w:sz="4" w:space="0"/>
              <w:bottom w:val="single" w:color="auto" w:sz="4" w:space="0"/>
              <w:right w:val="single" w:color="auto" w:sz="4" w:space="0"/>
            </w:tcBorders>
            <w:vAlign w:val="center"/>
          </w:tcPr>
          <w:p>
            <w:pPr>
              <w:widowControl/>
              <w:tabs>
                <w:tab w:val="left" w:pos="482"/>
                <w:tab w:val="left" w:pos="2183"/>
                <w:tab w:val="left" w:pos="3884"/>
                <w:tab w:val="left" w:pos="5585"/>
              </w:tabs>
              <w:snapToGrid w:val="0"/>
              <w:spacing w:line="320" w:lineRule="exact"/>
              <w:jc w:val="center"/>
              <w:rPr>
                <w:b/>
                <w:bCs/>
                <w:szCs w:val="21"/>
              </w:rPr>
            </w:pPr>
          </w:p>
        </w:tc>
        <w:tc>
          <w:tcPr>
            <w:tcW w:w="2342" w:type="dxa"/>
            <w:vMerge w:val="continue"/>
            <w:tcBorders>
              <w:left w:val="single" w:color="auto" w:sz="4" w:space="0"/>
              <w:bottom w:val="single" w:color="auto" w:sz="4" w:space="0"/>
              <w:right w:val="single" w:color="auto" w:sz="4" w:space="0"/>
            </w:tcBorders>
            <w:vAlign w:val="center"/>
          </w:tcPr>
          <w:p>
            <w:pPr>
              <w:widowControl/>
              <w:tabs>
                <w:tab w:val="left" w:pos="482"/>
                <w:tab w:val="left" w:pos="2183"/>
                <w:tab w:val="left" w:pos="3884"/>
                <w:tab w:val="left" w:pos="5585"/>
              </w:tabs>
              <w:jc w:val="left"/>
              <w:rPr>
                <w:b/>
                <w:bCs/>
                <w:szCs w:val="21"/>
              </w:rPr>
            </w:pPr>
          </w:p>
        </w:tc>
        <w:tc>
          <w:tcPr>
            <w:tcW w:w="666" w:type="dxa"/>
            <w:tcBorders>
              <w:top w:val="single" w:color="auto" w:sz="4" w:space="0"/>
              <w:left w:val="nil"/>
              <w:bottom w:val="single" w:color="auto" w:sz="4" w:space="0"/>
              <w:right w:val="single" w:color="auto" w:sz="4" w:space="0"/>
            </w:tcBorders>
            <w:vAlign w:val="center"/>
          </w:tcPr>
          <w:p>
            <w:pPr>
              <w:widowControl/>
              <w:tabs>
                <w:tab w:val="left" w:pos="482"/>
                <w:tab w:val="left" w:pos="2183"/>
                <w:tab w:val="left" w:pos="3884"/>
                <w:tab w:val="left" w:pos="5585"/>
              </w:tabs>
              <w:snapToGrid w:val="0"/>
              <w:spacing w:line="320" w:lineRule="exact"/>
              <w:jc w:val="center"/>
              <w:rPr>
                <w:b/>
                <w:bCs/>
                <w:szCs w:val="21"/>
              </w:rPr>
            </w:pPr>
            <w:r>
              <w:rPr>
                <w:b/>
                <w:bCs/>
                <w:szCs w:val="21"/>
              </w:rPr>
              <w:t>分值</w:t>
            </w:r>
          </w:p>
        </w:tc>
        <w:tc>
          <w:tcPr>
            <w:tcW w:w="1897" w:type="dxa"/>
            <w:tcBorders>
              <w:top w:val="single" w:color="auto" w:sz="4" w:space="0"/>
              <w:left w:val="nil"/>
              <w:bottom w:val="single" w:color="auto" w:sz="4" w:space="0"/>
              <w:right w:val="single" w:color="auto" w:sz="4" w:space="0"/>
            </w:tcBorders>
            <w:vAlign w:val="center"/>
          </w:tcPr>
          <w:p>
            <w:pPr>
              <w:widowControl/>
              <w:tabs>
                <w:tab w:val="left" w:pos="482"/>
                <w:tab w:val="left" w:pos="2183"/>
                <w:tab w:val="left" w:pos="3884"/>
                <w:tab w:val="left" w:pos="5585"/>
              </w:tabs>
              <w:snapToGrid w:val="0"/>
              <w:spacing w:line="320" w:lineRule="exact"/>
              <w:jc w:val="center"/>
              <w:rPr>
                <w:b/>
                <w:bCs/>
                <w:szCs w:val="21"/>
              </w:rPr>
            </w:pPr>
            <w:r>
              <w:rPr>
                <w:b/>
                <w:bCs/>
                <w:szCs w:val="21"/>
              </w:rPr>
              <w:t>A</w:t>
            </w:r>
            <w:r>
              <w:rPr>
                <w:rFonts w:ascii="宋体" w:hAnsi="宋体"/>
                <w:b/>
                <w:bCs/>
                <w:szCs w:val="21"/>
              </w:rPr>
              <w:t>档</w:t>
            </w:r>
          </w:p>
        </w:tc>
        <w:tc>
          <w:tcPr>
            <w:tcW w:w="2189" w:type="dxa"/>
            <w:tcBorders>
              <w:top w:val="single" w:color="auto" w:sz="4" w:space="0"/>
              <w:left w:val="nil"/>
              <w:bottom w:val="single" w:color="auto" w:sz="4" w:space="0"/>
              <w:right w:val="single" w:color="auto" w:sz="4" w:space="0"/>
            </w:tcBorders>
            <w:vAlign w:val="center"/>
          </w:tcPr>
          <w:p>
            <w:pPr>
              <w:widowControl/>
              <w:tabs>
                <w:tab w:val="left" w:pos="482"/>
                <w:tab w:val="left" w:pos="2183"/>
                <w:tab w:val="left" w:pos="3884"/>
                <w:tab w:val="left" w:pos="5585"/>
              </w:tabs>
              <w:snapToGrid w:val="0"/>
              <w:spacing w:line="320" w:lineRule="exact"/>
              <w:jc w:val="center"/>
              <w:rPr>
                <w:b/>
                <w:bCs/>
                <w:szCs w:val="21"/>
              </w:rPr>
            </w:pPr>
            <w:r>
              <w:rPr>
                <w:b/>
                <w:bCs/>
                <w:szCs w:val="21"/>
              </w:rPr>
              <w:t>B</w:t>
            </w:r>
            <w:r>
              <w:rPr>
                <w:rFonts w:ascii="宋体" w:hAnsi="宋体"/>
                <w:b/>
                <w:bCs/>
                <w:szCs w:val="21"/>
              </w:rPr>
              <w:t>档</w:t>
            </w:r>
          </w:p>
        </w:tc>
        <w:tc>
          <w:tcPr>
            <w:tcW w:w="2009" w:type="dxa"/>
            <w:tcBorders>
              <w:top w:val="single" w:color="auto" w:sz="4" w:space="0"/>
              <w:left w:val="nil"/>
              <w:bottom w:val="single" w:color="auto" w:sz="4" w:space="0"/>
              <w:right w:val="single" w:color="auto" w:sz="4" w:space="0"/>
            </w:tcBorders>
            <w:vAlign w:val="center"/>
          </w:tcPr>
          <w:p>
            <w:pPr>
              <w:widowControl/>
              <w:tabs>
                <w:tab w:val="left" w:pos="482"/>
                <w:tab w:val="left" w:pos="2183"/>
                <w:tab w:val="left" w:pos="3884"/>
                <w:tab w:val="left" w:pos="5585"/>
              </w:tabs>
              <w:snapToGrid w:val="0"/>
              <w:spacing w:line="320" w:lineRule="exact"/>
              <w:jc w:val="center"/>
              <w:rPr>
                <w:b/>
                <w:bCs/>
                <w:szCs w:val="21"/>
              </w:rPr>
            </w:pPr>
            <w:r>
              <w:rPr>
                <w:b/>
                <w:bCs/>
                <w:szCs w:val="21"/>
              </w:rPr>
              <w:t>C</w:t>
            </w:r>
            <w:r>
              <w:rPr>
                <w:rFonts w:ascii="宋体" w:hAnsi="宋体"/>
                <w:b/>
                <w:bCs/>
                <w:szCs w:val="21"/>
              </w:rPr>
              <w:t>档</w:t>
            </w:r>
          </w:p>
        </w:tc>
      </w:tr>
      <w:tr>
        <w:tblPrEx>
          <w:tblLayout w:type="fixed"/>
          <w:tblCellMar>
            <w:top w:w="0" w:type="dxa"/>
            <w:left w:w="108" w:type="dxa"/>
            <w:bottom w:w="0" w:type="dxa"/>
            <w:right w:w="108" w:type="dxa"/>
          </w:tblCellMar>
        </w:tblPrEx>
        <w:trPr>
          <w:cantSplit/>
          <w:trHeight w:val="560" w:hRule="atLeast"/>
        </w:trPr>
        <w:tc>
          <w:tcPr>
            <w:tcW w:w="479"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spacing w:line="320" w:lineRule="exact"/>
              <w:jc w:val="center"/>
              <w:rPr>
                <w:szCs w:val="21"/>
              </w:rPr>
            </w:pPr>
            <w:r>
              <w:rPr>
                <w:szCs w:val="21"/>
              </w:rPr>
              <w:t>1</w:t>
            </w:r>
          </w:p>
        </w:tc>
        <w:tc>
          <w:tcPr>
            <w:tcW w:w="2342"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spacing w:line="320" w:lineRule="exact"/>
              <w:rPr>
                <w:szCs w:val="21"/>
              </w:rPr>
            </w:pPr>
            <w:r>
              <w:rPr>
                <w:rFonts w:hint="eastAsia" w:ascii="宋体" w:hAnsi="宋体" w:cs="宋体"/>
                <w:sz w:val="22"/>
                <w:szCs w:val="22"/>
              </w:rPr>
              <w:t>投标人综合实力</w:t>
            </w:r>
          </w:p>
        </w:tc>
        <w:tc>
          <w:tcPr>
            <w:tcW w:w="666" w:type="dxa"/>
            <w:vMerge w:val="restart"/>
            <w:tcBorders>
              <w:top w:val="single" w:color="auto" w:sz="4" w:space="0"/>
              <w:left w:val="nil"/>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4</w:t>
            </w:r>
          </w:p>
        </w:tc>
        <w:tc>
          <w:tcPr>
            <w:tcW w:w="1897" w:type="dxa"/>
            <w:tcBorders>
              <w:top w:val="single" w:color="auto" w:sz="4" w:space="0"/>
              <w:left w:val="nil"/>
              <w:bottom w:val="single" w:color="auto" w:sz="4" w:space="0"/>
              <w:right w:val="single" w:color="auto" w:sz="4" w:space="0"/>
            </w:tcBorders>
            <w:vAlign w:val="center"/>
          </w:tcPr>
          <w:p>
            <w:pPr>
              <w:widowControl/>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3.2-4.0</w:t>
            </w:r>
          </w:p>
        </w:tc>
        <w:tc>
          <w:tcPr>
            <w:tcW w:w="2189" w:type="dxa"/>
            <w:tcBorders>
              <w:top w:val="single" w:color="auto" w:sz="4" w:space="0"/>
              <w:left w:val="nil"/>
              <w:bottom w:val="single" w:color="auto" w:sz="4" w:space="0"/>
              <w:right w:val="single" w:color="auto" w:sz="4" w:space="0"/>
            </w:tcBorders>
            <w:vAlign w:val="center"/>
          </w:tcPr>
          <w:p>
            <w:pPr>
              <w:widowControl/>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2.4-3.2</w:t>
            </w:r>
          </w:p>
        </w:tc>
        <w:tc>
          <w:tcPr>
            <w:tcW w:w="2009" w:type="dxa"/>
            <w:tcBorders>
              <w:top w:val="single" w:color="auto" w:sz="4" w:space="0"/>
              <w:left w:val="nil"/>
              <w:bottom w:val="single" w:color="auto" w:sz="4" w:space="0"/>
              <w:right w:val="single" w:color="auto" w:sz="4" w:space="0"/>
            </w:tcBorders>
            <w:vAlign w:val="center"/>
          </w:tcPr>
          <w:p>
            <w:pPr>
              <w:widowControl/>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1.6-2.4</w:t>
            </w:r>
          </w:p>
        </w:tc>
      </w:tr>
      <w:tr>
        <w:tblPrEx>
          <w:tblLayout w:type="fixed"/>
          <w:tblCellMar>
            <w:top w:w="0" w:type="dxa"/>
            <w:left w:w="108" w:type="dxa"/>
            <w:bottom w:w="0" w:type="dxa"/>
            <w:right w:w="108" w:type="dxa"/>
          </w:tblCellMar>
        </w:tblPrEx>
        <w:trPr>
          <w:cantSplit/>
          <w:trHeight w:val="70" w:hRule="atLeast"/>
        </w:trPr>
        <w:tc>
          <w:tcPr>
            <w:tcW w:w="479" w:type="dxa"/>
            <w:vMerge w:val="continue"/>
            <w:tcBorders>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spacing w:line="320" w:lineRule="exact"/>
              <w:jc w:val="center"/>
              <w:rPr>
                <w:rFonts w:ascii="宋体" w:hAnsi="宋体"/>
                <w:szCs w:val="21"/>
              </w:rPr>
            </w:pPr>
          </w:p>
        </w:tc>
        <w:tc>
          <w:tcPr>
            <w:tcW w:w="2342" w:type="dxa"/>
            <w:vMerge w:val="continue"/>
            <w:tcBorders>
              <w:left w:val="single" w:color="auto" w:sz="4" w:space="0"/>
              <w:bottom w:val="single" w:color="auto" w:sz="4" w:space="0"/>
              <w:right w:val="single" w:color="auto" w:sz="4" w:space="0"/>
            </w:tcBorders>
            <w:vAlign w:val="center"/>
          </w:tcPr>
          <w:p>
            <w:pPr>
              <w:tabs>
                <w:tab w:val="left" w:pos="482"/>
                <w:tab w:val="left" w:pos="2183"/>
                <w:tab w:val="left" w:pos="3884"/>
                <w:tab w:val="left" w:pos="5585"/>
              </w:tabs>
              <w:spacing w:line="320" w:lineRule="exact"/>
              <w:rPr>
                <w:szCs w:val="21"/>
              </w:rPr>
            </w:pPr>
          </w:p>
        </w:tc>
        <w:tc>
          <w:tcPr>
            <w:tcW w:w="666" w:type="dxa"/>
            <w:vMerge w:val="continue"/>
            <w:tcBorders>
              <w:left w:val="nil"/>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p>
        </w:tc>
        <w:tc>
          <w:tcPr>
            <w:tcW w:w="6095" w:type="dxa"/>
            <w:gridSpan w:val="3"/>
            <w:tcBorders>
              <w:top w:val="single" w:color="auto" w:sz="4" w:space="0"/>
              <w:left w:val="nil"/>
              <w:bottom w:val="single" w:color="auto" w:sz="4" w:space="0"/>
              <w:right w:val="single" w:color="auto" w:sz="4" w:space="0"/>
            </w:tcBorders>
            <w:vAlign w:val="center"/>
          </w:tcPr>
          <w:p>
            <w:pPr>
              <w:tabs>
                <w:tab w:val="left" w:pos="482"/>
                <w:tab w:val="left" w:pos="2183"/>
                <w:tab w:val="left" w:pos="3884"/>
                <w:tab w:val="left" w:pos="5585"/>
              </w:tabs>
              <w:snapToGrid w:val="0"/>
              <w:spacing w:line="320" w:lineRule="exact"/>
              <w:jc w:val="center"/>
              <w:rPr>
                <w:rFonts w:ascii="宋体" w:hAnsi="宋体"/>
                <w:szCs w:val="21"/>
              </w:rPr>
            </w:pPr>
            <w:r>
              <w:rPr>
                <w:rFonts w:hint="eastAsia" w:ascii="宋体" w:hAnsi="宋体"/>
                <w:szCs w:val="21"/>
              </w:rPr>
              <w:t>根据投标人的企业规模（企业注册资金、员工人数、厂房面积、员工人数和文化素质等）、财务状况、市场占有情况、获得的荣誉等情况，由评委横向比较评定。</w:t>
            </w:r>
          </w:p>
        </w:tc>
      </w:tr>
      <w:tr>
        <w:tblPrEx>
          <w:tblLayout w:type="fixed"/>
          <w:tblCellMar>
            <w:top w:w="0" w:type="dxa"/>
            <w:left w:w="108" w:type="dxa"/>
            <w:bottom w:w="0" w:type="dxa"/>
            <w:right w:w="108" w:type="dxa"/>
          </w:tblCellMar>
        </w:tblPrEx>
        <w:trPr>
          <w:cantSplit/>
          <w:trHeight w:val="526" w:hRule="atLeast"/>
        </w:trPr>
        <w:tc>
          <w:tcPr>
            <w:tcW w:w="479"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spacing w:line="320" w:lineRule="exact"/>
              <w:jc w:val="center"/>
              <w:rPr>
                <w:szCs w:val="21"/>
              </w:rPr>
            </w:pPr>
            <w:r>
              <w:rPr>
                <w:rFonts w:hint="eastAsia"/>
                <w:szCs w:val="21"/>
              </w:rPr>
              <w:t>2</w:t>
            </w:r>
          </w:p>
        </w:tc>
        <w:tc>
          <w:tcPr>
            <w:tcW w:w="2342"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spacing w:line="320" w:lineRule="exact"/>
              <w:rPr>
                <w:szCs w:val="21"/>
              </w:rPr>
            </w:pPr>
            <w:r>
              <w:rPr>
                <w:rFonts w:hint="eastAsia" w:ascii="宋体" w:hAnsi="宋体" w:cs="宋体"/>
                <w:sz w:val="22"/>
                <w:szCs w:val="22"/>
              </w:rPr>
              <w:t>投标产品总体制造、安装工艺、装备、技术、质量水平</w:t>
            </w:r>
          </w:p>
        </w:tc>
        <w:tc>
          <w:tcPr>
            <w:tcW w:w="666" w:type="dxa"/>
            <w:vMerge w:val="restart"/>
            <w:tcBorders>
              <w:top w:val="single" w:color="auto" w:sz="4" w:space="0"/>
              <w:left w:val="nil"/>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8</w:t>
            </w:r>
          </w:p>
        </w:tc>
        <w:tc>
          <w:tcPr>
            <w:tcW w:w="1897" w:type="dxa"/>
            <w:tcBorders>
              <w:top w:val="single" w:color="auto" w:sz="4" w:space="0"/>
              <w:left w:val="nil"/>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6.4-8.0</w:t>
            </w:r>
          </w:p>
        </w:tc>
        <w:tc>
          <w:tcPr>
            <w:tcW w:w="2189"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4.8-6.4</w:t>
            </w:r>
          </w:p>
        </w:tc>
        <w:tc>
          <w:tcPr>
            <w:tcW w:w="2009"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3.2-4.8</w:t>
            </w:r>
          </w:p>
        </w:tc>
      </w:tr>
      <w:tr>
        <w:tblPrEx>
          <w:tblLayout w:type="fixed"/>
        </w:tblPrEx>
        <w:trPr>
          <w:cantSplit/>
          <w:trHeight w:val="70" w:hRule="atLeast"/>
        </w:trPr>
        <w:tc>
          <w:tcPr>
            <w:tcW w:w="479" w:type="dxa"/>
            <w:vMerge w:val="continue"/>
            <w:tcBorders>
              <w:left w:val="single" w:color="auto" w:sz="4" w:space="0"/>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szCs w:val="21"/>
              </w:rPr>
            </w:pPr>
          </w:p>
        </w:tc>
        <w:tc>
          <w:tcPr>
            <w:tcW w:w="2342" w:type="dxa"/>
            <w:vMerge w:val="continue"/>
            <w:tcBorders>
              <w:left w:val="single" w:color="auto" w:sz="4" w:space="0"/>
              <w:bottom w:val="single" w:color="auto" w:sz="4" w:space="0"/>
              <w:right w:val="single" w:color="auto" w:sz="4" w:space="0"/>
            </w:tcBorders>
            <w:vAlign w:val="center"/>
          </w:tcPr>
          <w:p>
            <w:pPr>
              <w:tabs>
                <w:tab w:val="left" w:pos="482"/>
                <w:tab w:val="left" w:pos="2183"/>
                <w:tab w:val="left" w:pos="3884"/>
                <w:tab w:val="left" w:pos="5585"/>
              </w:tabs>
              <w:spacing w:line="320" w:lineRule="exact"/>
              <w:rPr>
                <w:szCs w:val="21"/>
              </w:rPr>
            </w:pPr>
          </w:p>
        </w:tc>
        <w:tc>
          <w:tcPr>
            <w:tcW w:w="666" w:type="dxa"/>
            <w:vMerge w:val="continue"/>
            <w:tcBorders>
              <w:left w:val="nil"/>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p>
        </w:tc>
        <w:tc>
          <w:tcPr>
            <w:tcW w:w="6095" w:type="dxa"/>
            <w:gridSpan w:val="3"/>
            <w:tcBorders>
              <w:top w:val="single" w:color="auto" w:sz="4" w:space="0"/>
              <w:left w:val="nil"/>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hAnsi="宋体"/>
                <w:sz w:val="22"/>
                <w:szCs w:val="22"/>
                <w:lang w:bidi="ar"/>
              </w:rPr>
            </w:pPr>
            <w:r>
              <w:rPr>
                <w:rFonts w:hint="eastAsia" w:ascii="宋体" w:hAnsi="宋体" w:cs="宋体"/>
                <w:sz w:val="22"/>
                <w:szCs w:val="22"/>
              </w:rPr>
              <w:t>根据投标产品制造加工工艺、装备、技术、质量水平</w:t>
            </w:r>
            <w:r>
              <w:rPr>
                <w:rFonts w:hint="eastAsia" w:ascii="宋体" w:hAnsi="宋体"/>
                <w:szCs w:val="21"/>
              </w:rPr>
              <w:t>，由评委横向比较评定</w:t>
            </w:r>
            <w:r>
              <w:rPr>
                <w:rFonts w:hint="eastAsia" w:ascii="宋体" w:hAnsi="宋体" w:cs="宋体"/>
                <w:sz w:val="22"/>
                <w:szCs w:val="22"/>
              </w:rPr>
              <w:t>。</w:t>
            </w:r>
          </w:p>
        </w:tc>
      </w:tr>
      <w:tr>
        <w:tblPrEx>
          <w:tblLayout w:type="fixed"/>
          <w:tblCellMar>
            <w:top w:w="0" w:type="dxa"/>
            <w:left w:w="108" w:type="dxa"/>
            <w:bottom w:w="0" w:type="dxa"/>
            <w:right w:w="108" w:type="dxa"/>
          </w:tblCellMar>
        </w:tblPrEx>
        <w:trPr>
          <w:cantSplit/>
          <w:trHeight w:val="586" w:hRule="atLeast"/>
        </w:trPr>
        <w:tc>
          <w:tcPr>
            <w:tcW w:w="479"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spacing w:line="320" w:lineRule="exact"/>
              <w:jc w:val="center"/>
              <w:rPr>
                <w:szCs w:val="21"/>
              </w:rPr>
            </w:pPr>
            <w:r>
              <w:rPr>
                <w:rFonts w:hint="eastAsia"/>
                <w:szCs w:val="21"/>
              </w:rPr>
              <w:t>3</w:t>
            </w:r>
          </w:p>
        </w:tc>
        <w:tc>
          <w:tcPr>
            <w:tcW w:w="2342"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spacing w:line="320" w:lineRule="exact"/>
              <w:rPr>
                <w:szCs w:val="21"/>
              </w:rPr>
            </w:pPr>
            <w:r>
              <w:rPr>
                <w:rFonts w:hint="eastAsia" w:ascii="宋体" w:hAnsi="宋体" w:cs="宋体"/>
                <w:sz w:val="22"/>
                <w:szCs w:val="22"/>
              </w:rPr>
              <w:t>投标产品总体材料、五金件配置水平</w:t>
            </w:r>
          </w:p>
        </w:tc>
        <w:tc>
          <w:tcPr>
            <w:tcW w:w="666" w:type="dxa"/>
            <w:vMerge w:val="restart"/>
            <w:tcBorders>
              <w:top w:val="single" w:color="auto" w:sz="4" w:space="0"/>
              <w:left w:val="nil"/>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12</w:t>
            </w:r>
          </w:p>
        </w:tc>
        <w:tc>
          <w:tcPr>
            <w:tcW w:w="1897" w:type="dxa"/>
            <w:tcBorders>
              <w:top w:val="single" w:color="auto" w:sz="4" w:space="0"/>
              <w:left w:val="nil"/>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9.6-12.0</w:t>
            </w:r>
          </w:p>
        </w:tc>
        <w:tc>
          <w:tcPr>
            <w:tcW w:w="2189"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7.2-9.6</w:t>
            </w:r>
          </w:p>
        </w:tc>
        <w:tc>
          <w:tcPr>
            <w:tcW w:w="2009"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4.8-7.2</w:t>
            </w:r>
          </w:p>
        </w:tc>
      </w:tr>
      <w:tr>
        <w:tblPrEx>
          <w:tblLayout w:type="fixed"/>
          <w:tblCellMar>
            <w:top w:w="0" w:type="dxa"/>
            <w:left w:w="108" w:type="dxa"/>
            <w:bottom w:w="0" w:type="dxa"/>
            <w:right w:w="108" w:type="dxa"/>
          </w:tblCellMar>
        </w:tblPrEx>
        <w:trPr>
          <w:cantSplit/>
          <w:trHeight w:val="70" w:hRule="atLeast"/>
        </w:trPr>
        <w:tc>
          <w:tcPr>
            <w:tcW w:w="479" w:type="dxa"/>
            <w:vMerge w:val="continue"/>
            <w:tcBorders>
              <w:left w:val="single" w:color="auto" w:sz="4" w:space="0"/>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szCs w:val="21"/>
              </w:rPr>
            </w:pPr>
          </w:p>
        </w:tc>
        <w:tc>
          <w:tcPr>
            <w:tcW w:w="2342" w:type="dxa"/>
            <w:vMerge w:val="continue"/>
            <w:tcBorders>
              <w:left w:val="single" w:color="auto" w:sz="4" w:space="0"/>
              <w:bottom w:val="single" w:color="auto" w:sz="4" w:space="0"/>
              <w:right w:val="single" w:color="auto" w:sz="4" w:space="0"/>
            </w:tcBorders>
            <w:vAlign w:val="center"/>
          </w:tcPr>
          <w:p>
            <w:pPr>
              <w:tabs>
                <w:tab w:val="left" w:pos="482"/>
                <w:tab w:val="left" w:pos="2183"/>
                <w:tab w:val="left" w:pos="3884"/>
                <w:tab w:val="left" w:pos="5585"/>
              </w:tabs>
              <w:spacing w:line="320" w:lineRule="exact"/>
              <w:rPr>
                <w:szCs w:val="21"/>
              </w:rPr>
            </w:pPr>
          </w:p>
        </w:tc>
        <w:tc>
          <w:tcPr>
            <w:tcW w:w="666" w:type="dxa"/>
            <w:vMerge w:val="continue"/>
            <w:tcBorders>
              <w:left w:val="nil"/>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p>
        </w:tc>
        <w:tc>
          <w:tcPr>
            <w:tcW w:w="6095" w:type="dxa"/>
            <w:gridSpan w:val="3"/>
            <w:tcBorders>
              <w:top w:val="single" w:color="auto" w:sz="4" w:space="0"/>
              <w:left w:val="nil"/>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hAnsi="宋体"/>
                <w:sz w:val="22"/>
                <w:szCs w:val="22"/>
                <w:lang w:bidi="ar"/>
              </w:rPr>
            </w:pPr>
            <w:r>
              <w:rPr>
                <w:rFonts w:hint="eastAsia" w:ascii="宋体" w:hAnsi="宋体" w:cs="宋体"/>
                <w:sz w:val="22"/>
                <w:szCs w:val="22"/>
              </w:rPr>
              <w:t>根据投标产品材料、部件品牌产地、质量水平</w:t>
            </w:r>
            <w:r>
              <w:rPr>
                <w:rFonts w:hint="eastAsia" w:ascii="宋体" w:hAnsi="宋体"/>
                <w:szCs w:val="21"/>
              </w:rPr>
              <w:t>，由评委横向比较评定</w:t>
            </w:r>
            <w:r>
              <w:rPr>
                <w:rFonts w:hint="eastAsia" w:ascii="宋体" w:hAnsi="宋体" w:cs="宋体"/>
                <w:sz w:val="22"/>
                <w:szCs w:val="22"/>
              </w:rPr>
              <w:t>。</w:t>
            </w:r>
          </w:p>
        </w:tc>
      </w:tr>
      <w:tr>
        <w:tblPrEx>
          <w:tblLayout w:type="fixed"/>
          <w:tblCellMar>
            <w:top w:w="0" w:type="dxa"/>
            <w:left w:w="108" w:type="dxa"/>
            <w:bottom w:w="0" w:type="dxa"/>
            <w:right w:w="108" w:type="dxa"/>
          </w:tblCellMar>
        </w:tblPrEx>
        <w:trPr>
          <w:cantSplit/>
          <w:trHeight w:val="556" w:hRule="atLeast"/>
        </w:trPr>
        <w:tc>
          <w:tcPr>
            <w:tcW w:w="479"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spacing w:line="320" w:lineRule="exact"/>
              <w:jc w:val="center"/>
              <w:rPr>
                <w:szCs w:val="21"/>
              </w:rPr>
            </w:pPr>
            <w:r>
              <w:rPr>
                <w:rFonts w:hint="eastAsia"/>
                <w:szCs w:val="21"/>
              </w:rPr>
              <w:t>4</w:t>
            </w:r>
          </w:p>
        </w:tc>
        <w:tc>
          <w:tcPr>
            <w:tcW w:w="2342"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spacing w:line="320" w:lineRule="exact"/>
              <w:rPr>
                <w:szCs w:val="21"/>
              </w:rPr>
            </w:pPr>
            <w:r>
              <w:rPr>
                <w:rFonts w:hint="eastAsia" w:ascii="宋体" w:hAnsi="宋体" w:cs="宋体"/>
                <w:sz w:val="22"/>
                <w:szCs w:val="22"/>
              </w:rPr>
              <w:t>服务网点、售后服务响应时间评价</w:t>
            </w:r>
          </w:p>
        </w:tc>
        <w:tc>
          <w:tcPr>
            <w:tcW w:w="666" w:type="dxa"/>
            <w:vMerge w:val="restart"/>
            <w:tcBorders>
              <w:top w:val="single" w:color="auto" w:sz="4" w:space="0"/>
              <w:left w:val="nil"/>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3</w:t>
            </w:r>
          </w:p>
        </w:tc>
        <w:tc>
          <w:tcPr>
            <w:tcW w:w="1897" w:type="dxa"/>
            <w:tcBorders>
              <w:top w:val="single" w:color="auto" w:sz="4" w:space="0"/>
              <w:left w:val="nil"/>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2.4-3.0</w:t>
            </w:r>
          </w:p>
        </w:tc>
        <w:tc>
          <w:tcPr>
            <w:tcW w:w="2189"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1.8-2.4</w:t>
            </w:r>
          </w:p>
        </w:tc>
        <w:tc>
          <w:tcPr>
            <w:tcW w:w="2009"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1.2-1.8</w:t>
            </w:r>
          </w:p>
        </w:tc>
      </w:tr>
      <w:tr>
        <w:tblPrEx>
          <w:tblLayout w:type="fixed"/>
          <w:tblCellMar>
            <w:top w:w="0" w:type="dxa"/>
            <w:left w:w="108" w:type="dxa"/>
            <w:bottom w:w="0" w:type="dxa"/>
            <w:right w:w="108" w:type="dxa"/>
          </w:tblCellMar>
        </w:tblPrEx>
        <w:trPr>
          <w:cantSplit/>
          <w:trHeight w:val="70" w:hRule="atLeast"/>
        </w:trPr>
        <w:tc>
          <w:tcPr>
            <w:tcW w:w="479" w:type="dxa"/>
            <w:vMerge w:val="continue"/>
            <w:tcBorders>
              <w:left w:val="single" w:color="auto" w:sz="4" w:space="0"/>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szCs w:val="21"/>
              </w:rPr>
            </w:pPr>
          </w:p>
        </w:tc>
        <w:tc>
          <w:tcPr>
            <w:tcW w:w="2342" w:type="dxa"/>
            <w:vMerge w:val="continue"/>
            <w:tcBorders>
              <w:left w:val="single" w:color="auto" w:sz="4" w:space="0"/>
              <w:bottom w:val="single" w:color="auto" w:sz="4" w:space="0"/>
              <w:right w:val="single" w:color="auto" w:sz="4" w:space="0"/>
            </w:tcBorders>
            <w:vAlign w:val="center"/>
          </w:tcPr>
          <w:p>
            <w:pPr>
              <w:tabs>
                <w:tab w:val="left" w:pos="482"/>
                <w:tab w:val="left" w:pos="2183"/>
                <w:tab w:val="left" w:pos="3884"/>
                <w:tab w:val="left" w:pos="5585"/>
              </w:tabs>
              <w:spacing w:line="320" w:lineRule="exact"/>
              <w:rPr>
                <w:szCs w:val="21"/>
              </w:rPr>
            </w:pPr>
          </w:p>
        </w:tc>
        <w:tc>
          <w:tcPr>
            <w:tcW w:w="666" w:type="dxa"/>
            <w:vMerge w:val="continue"/>
            <w:tcBorders>
              <w:left w:val="nil"/>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p>
        </w:tc>
        <w:tc>
          <w:tcPr>
            <w:tcW w:w="6095" w:type="dxa"/>
            <w:gridSpan w:val="3"/>
            <w:tcBorders>
              <w:top w:val="single" w:color="auto" w:sz="4" w:space="0"/>
              <w:left w:val="nil"/>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hAnsi="宋体"/>
                <w:sz w:val="22"/>
                <w:szCs w:val="22"/>
                <w:lang w:bidi="ar"/>
              </w:rPr>
            </w:pPr>
            <w:r>
              <w:rPr>
                <w:rFonts w:hint="eastAsia" w:ascii="宋体" w:hAnsi="宋体" w:cs="宋体"/>
                <w:sz w:val="22"/>
                <w:szCs w:val="22"/>
              </w:rPr>
              <w:t>根据投标人售后服务网点远近与售后服务人员配置情况、投标人承诺的响应时间</w:t>
            </w:r>
            <w:r>
              <w:rPr>
                <w:rFonts w:hint="eastAsia" w:ascii="宋体" w:hAnsi="宋体"/>
                <w:szCs w:val="21"/>
              </w:rPr>
              <w:t>，由评委横向比较评定</w:t>
            </w:r>
            <w:r>
              <w:rPr>
                <w:rFonts w:hint="eastAsia" w:ascii="宋体" w:hAnsi="宋体" w:cs="宋体"/>
                <w:sz w:val="22"/>
                <w:szCs w:val="22"/>
              </w:rPr>
              <w:t>。</w:t>
            </w:r>
          </w:p>
        </w:tc>
      </w:tr>
      <w:tr>
        <w:tblPrEx>
          <w:tblLayout w:type="fixed"/>
          <w:tblCellMar>
            <w:top w:w="0" w:type="dxa"/>
            <w:left w:w="108" w:type="dxa"/>
            <w:bottom w:w="0" w:type="dxa"/>
            <w:right w:w="108" w:type="dxa"/>
          </w:tblCellMar>
        </w:tblPrEx>
        <w:trPr>
          <w:cantSplit/>
          <w:trHeight w:val="526" w:hRule="atLeast"/>
        </w:trPr>
        <w:tc>
          <w:tcPr>
            <w:tcW w:w="479"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spacing w:line="320" w:lineRule="exact"/>
              <w:jc w:val="center"/>
              <w:rPr>
                <w:szCs w:val="21"/>
              </w:rPr>
            </w:pPr>
            <w:r>
              <w:rPr>
                <w:rFonts w:hint="eastAsia"/>
                <w:szCs w:val="21"/>
              </w:rPr>
              <w:t>5</w:t>
            </w:r>
          </w:p>
        </w:tc>
        <w:tc>
          <w:tcPr>
            <w:tcW w:w="2342"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spacing w:line="320" w:lineRule="exact"/>
              <w:rPr>
                <w:szCs w:val="21"/>
              </w:rPr>
            </w:pPr>
            <w:r>
              <w:rPr>
                <w:rFonts w:hint="eastAsia" w:ascii="宋体" w:hAnsi="宋体" w:cs="宋体"/>
                <w:sz w:val="22"/>
                <w:szCs w:val="22"/>
              </w:rPr>
              <w:t>售后服务承诺与保证措施</w:t>
            </w:r>
          </w:p>
        </w:tc>
        <w:tc>
          <w:tcPr>
            <w:tcW w:w="666" w:type="dxa"/>
            <w:vMerge w:val="restart"/>
            <w:tcBorders>
              <w:top w:val="single" w:color="auto" w:sz="4" w:space="0"/>
              <w:left w:val="nil"/>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3</w:t>
            </w:r>
          </w:p>
        </w:tc>
        <w:tc>
          <w:tcPr>
            <w:tcW w:w="1897" w:type="dxa"/>
            <w:tcBorders>
              <w:top w:val="single" w:color="auto" w:sz="4" w:space="0"/>
              <w:left w:val="nil"/>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2.4-3.0</w:t>
            </w:r>
          </w:p>
        </w:tc>
        <w:tc>
          <w:tcPr>
            <w:tcW w:w="2189"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1.8-2.4</w:t>
            </w:r>
          </w:p>
        </w:tc>
        <w:tc>
          <w:tcPr>
            <w:tcW w:w="2009"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1.2-1.8</w:t>
            </w:r>
          </w:p>
        </w:tc>
      </w:tr>
      <w:tr>
        <w:tblPrEx>
          <w:tblLayout w:type="fixed"/>
        </w:tblPrEx>
        <w:trPr>
          <w:cantSplit/>
          <w:trHeight w:val="70" w:hRule="atLeast"/>
        </w:trPr>
        <w:tc>
          <w:tcPr>
            <w:tcW w:w="479" w:type="dxa"/>
            <w:vMerge w:val="continue"/>
            <w:tcBorders>
              <w:left w:val="single" w:color="auto" w:sz="4" w:space="0"/>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szCs w:val="21"/>
              </w:rPr>
            </w:pPr>
          </w:p>
        </w:tc>
        <w:tc>
          <w:tcPr>
            <w:tcW w:w="2342" w:type="dxa"/>
            <w:vMerge w:val="continue"/>
            <w:tcBorders>
              <w:left w:val="single" w:color="auto" w:sz="4" w:space="0"/>
              <w:bottom w:val="single" w:color="auto" w:sz="4" w:space="0"/>
              <w:right w:val="single" w:color="auto" w:sz="4" w:space="0"/>
            </w:tcBorders>
            <w:vAlign w:val="center"/>
          </w:tcPr>
          <w:p>
            <w:pPr>
              <w:tabs>
                <w:tab w:val="left" w:pos="482"/>
                <w:tab w:val="left" w:pos="2183"/>
                <w:tab w:val="left" w:pos="3884"/>
                <w:tab w:val="left" w:pos="5585"/>
              </w:tabs>
              <w:spacing w:line="320" w:lineRule="exact"/>
              <w:rPr>
                <w:szCs w:val="21"/>
              </w:rPr>
            </w:pPr>
          </w:p>
        </w:tc>
        <w:tc>
          <w:tcPr>
            <w:tcW w:w="666" w:type="dxa"/>
            <w:vMerge w:val="continue"/>
            <w:tcBorders>
              <w:left w:val="nil"/>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p>
        </w:tc>
        <w:tc>
          <w:tcPr>
            <w:tcW w:w="6095" w:type="dxa"/>
            <w:gridSpan w:val="3"/>
            <w:tcBorders>
              <w:top w:val="single" w:color="auto" w:sz="4" w:space="0"/>
              <w:left w:val="nil"/>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hAnsi="宋体"/>
                <w:sz w:val="22"/>
                <w:szCs w:val="22"/>
                <w:lang w:bidi="ar"/>
              </w:rPr>
            </w:pPr>
            <w:r>
              <w:rPr>
                <w:rFonts w:hint="eastAsia" w:ascii="宋体" w:hAnsi="宋体" w:cs="宋体"/>
                <w:sz w:val="22"/>
                <w:szCs w:val="22"/>
              </w:rPr>
              <w:t>根据投标人售后服务承诺与保证措施及计划</w:t>
            </w:r>
            <w:r>
              <w:rPr>
                <w:rFonts w:hint="eastAsia" w:ascii="宋体" w:hAnsi="宋体"/>
                <w:szCs w:val="21"/>
              </w:rPr>
              <w:t>，由评委横向比较评定</w:t>
            </w:r>
            <w:r>
              <w:rPr>
                <w:rFonts w:hint="eastAsia" w:ascii="宋体" w:hAnsi="宋体" w:cs="宋体"/>
                <w:sz w:val="22"/>
                <w:szCs w:val="22"/>
              </w:rPr>
              <w:t>。</w:t>
            </w:r>
          </w:p>
        </w:tc>
      </w:tr>
      <w:tr>
        <w:tblPrEx>
          <w:tblLayout w:type="fixed"/>
          <w:tblCellMar>
            <w:top w:w="0" w:type="dxa"/>
            <w:left w:w="108" w:type="dxa"/>
            <w:bottom w:w="0" w:type="dxa"/>
            <w:right w:w="108" w:type="dxa"/>
          </w:tblCellMar>
        </w:tblPrEx>
        <w:trPr>
          <w:cantSplit/>
          <w:trHeight w:val="601" w:hRule="atLeast"/>
        </w:trPr>
        <w:tc>
          <w:tcPr>
            <w:tcW w:w="479"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spacing w:line="320" w:lineRule="exact"/>
              <w:jc w:val="center"/>
              <w:rPr>
                <w:szCs w:val="21"/>
              </w:rPr>
            </w:pPr>
            <w:r>
              <w:rPr>
                <w:rFonts w:hint="eastAsia"/>
                <w:szCs w:val="21"/>
              </w:rPr>
              <w:t>6</w:t>
            </w:r>
          </w:p>
        </w:tc>
        <w:tc>
          <w:tcPr>
            <w:tcW w:w="2342"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spacing w:line="320" w:lineRule="exact"/>
              <w:rPr>
                <w:szCs w:val="21"/>
              </w:rPr>
            </w:pPr>
            <w:r>
              <w:rPr>
                <w:rFonts w:hint="eastAsia" w:ascii="宋体" w:hAnsi="宋体"/>
                <w:sz w:val="22"/>
                <w:szCs w:val="22"/>
              </w:rPr>
              <w:t>优惠承诺</w:t>
            </w:r>
          </w:p>
        </w:tc>
        <w:tc>
          <w:tcPr>
            <w:tcW w:w="666" w:type="dxa"/>
            <w:vMerge w:val="restart"/>
            <w:tcBorders>
              <w:top w:val="single" w:color="auto" w:sz="4" w:space="0"/>
              <w:left w:val="nil"/>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4</w:t>
            </w:r>
          </w:p>
        </w:tc>
        <w:tc>
          <w:tcPr>
            <w:tcW w:w="1897" w:type="dxa"/>
            <w:tcBorders>
              <w:top w:val="single" w:color="auto" w:sz="4" w:space="0"/>
              <w:left w:val="nil"/>
              <w:bottom w:val="single" w:color="auto" w:sz="4" w:space="0"/>
              <w:right w:val="single" w:color="auto" w:sz="4" w:space="0"/>
            </w:tcBorders>
            <w:vAlign w:val="center"/>
          </w:tcPr>
          <w:p>
            <w:pPr>
              <w:widowControl/>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3.2-4.0</w:t>
            </w:r>
          </w:p>
        </w:tc>
        <w:tc>
          <w:tcPr>
            <w:tcW w:w="2189" w:type="dxa"/>
            <w:tcBorders>
              <w:top w:val="single" w:color="auto" w:sz="4" w:space="0"/>
              <w:left w:val="single" w:color="auto" w:sz="4" w:space="0"/>
              <w:bottom w:val="single" w:color="auto" w:sz="4" w:space="0"/>
              <w:right w:val="single" w:color="auto" w:sz="4" w:space="0"/>
            </w:tcBorders>
            <w:vAlign w:val="center"/>
          </w:tcPr>
          <w:p>
            <w:pPr>
              <w:widowControl/>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2.4-3.2</w:t>
            </w:r>
          </w:p>
        </w:tc>
        <w:tc>
          <w:tcPr>
            <w:tcW w:w="2009" w:type="dxa"/>
            <w:tcBorders>
              <w:top w:val="single" w:color="auto" w:sz="4" w:space="0"/>
              <w:left w:val="single" w:color="auto" w:sz="4" w:space="0"/>
              <w:bottom w:val="single" w:color="auto" w:sz="4" w:space="0"/>
              <w:right w:val="single" w:color="auto" w:sz="4" w:space="0"/>
            </w:tcBorders>
            <w:vAlign w:val="center"/>
          </w:tcPr>
          <w:p>
            <w:pPr>
              <w:widowControl/>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1.6-2.4</w:t>
            </w:r>
          </w:p>
        </w:tc>
      </w:tr>
      <w:tr>
        <w:tblPrEx>
          <w:tblLayout w:type="fixed"/>
          <w:tblCellMar>
            <w:top w:w="0" w:type="dxa"/>
            <w:left w:w="108" w:type="dxa"/>
            <w:bottom w:w="0" w:type="dxa"/>
            <w:right w:w="108" w:type="dxa"/>
          </w:tblCellMar>
        </w:tblPrEx>
        <w:trPr>
          <w:cantSplit/>
          <w:trHeight w:val="70" w:hRule="atLeast"/>
        </w:trPr>
        <w:tc>
          <w:tcPr>
            <w:tcW w:w="479" w:type="dxa"/>
            <w:vMerge w:val="continue"/>
            <w:tcBorders>
              <w:left w:val="single" w:color="auto" w:sz="4" w:space="0"/>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szCs w:val="21"/>
              </w:rPr>
            </w:pPr>
          </w:p>
        </w:tc>
        <w:tc>
          <w:tcPr>
            <w:tcW w:w="2342" w:type="dxa"/>
            <w:vMerge w:val="continue"/>
            <w:tcBorders>
              <w:left w:val="single" w:color="auto" w:sz="4" w:space="0"/>
              <w:bottom w:val="single" w:color="auto" w:sz="4" w:space="0"/>
              <w:right w:val="single" w:color="auto" w:sz="4" w:space="0"/>
            </w:tcBorders>
            <w:vAlign w:val="center"/>
          </w:tcPr>
          <w:p>
            <w:pPr>
              <w:tabs>
                <w:tab w:val="left" w:pos="482"/>
                <w:tab w:val="left" w:pos="2183"/>
                <w:tab w:val="left" w:pos="3884"/>
                <w:tab w:val="left" w:pos="5585"/>
              </w:tabs>
              <w:spacing w:line="320" w:lineRule="exact"/>
              <w:rPr>
                <w:szCs w:val="21"/>
              </w:rPr>
            </w:pPr>
          </w:p>
        </w:tc>
        <w:tc>
          <w:tcPr>
            <w:tcW w:w="666" w:type="dxa"/>
            <w:vMerge w:val="continue"/>
            <w:tcBorders>
              <w:left w:val="nil"/>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p>
        </w:tc>
        <w:tc>
          <w:tcPr>
            <w:tcW w:w="6095" w:type="dxa"/>
            <w:gridSpan w:val="3"/>
            <w:tcBorders>
              <w:top w:val="single" w:color="auto" w:sz="4" w:space="0"/>
              <w:left w:val="nil"/>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hAnsi="宋体"/>
                <w:sz w:val="22"/>
                <w:szCs w:val="22"/>
                <w:lang w:bidi="ar"/>
              </w:rPr>
            </w:pPr>
            <w:r>
              <w:rPr>
                <w:rFonts w:hint="eastAsia" w:ascii="宋体" w:hAnsi="宋体" w:cs="宋体"/>
                <w:sz w:val="22"/>
                <w:szCs w:val="22"/>
              </w:rPr>
              <w:t>根据投标文件中给予招标人招标文件规定外的实质性优惠承诺</w:t>
            </w:r>
            <w:r>
              <w:rPr>
                <w:rFonts w:hint="eastAsia" w:ascii="宋体" w:hAnsi="宋体"/>
                <w:szCs w:val="21"/>
              </w:rPr>
              <w:t>，由评委横向比较评定</w:t>
            </w:r>
            <w:r>
              <w:rPr>
                <w:rFonts w:hint="eastAsia" w:ascii="宋体" w:hAnsi="宋体" w:cs="宋体"/>
                <w:sz w:val="22"/>
                <w:szCs w:val="22"/>
              </w:rPr>
              <w:t>。</w:t>
            </w:r>
          </w:p>
        </w:tc>
      </w:tr>
      <w:tr>
        <w:tblPrEx>
          <w:tblLayout w:type="fixed"/>
          <w:tblCellMar>
            <w:top w:w="0" w:type="dxa"/>
            <w:left w:w="108" w:type="dxa"/>
            <w:bottom w:w="0" w:type="dxa"/>
            <w:right w:w="108" w:type="dxa"/>
          </w:tblCellMar>
        </w:tblPrEx>
        <w:trPr>
          <w:cantSplit/>
          <w:trHeight w:val="526" w:hRule="atLeast"/>
        </w:trPr>
        <w:tc>
          <w:tcPr>
            <w:tcW w:w="479"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spacing w:line="320" w:lineRule="exact"/>
              <w:jc w:val="center"/>
              <w:rPr>
                <w:szCs w:val="21"/>
              </w:rPr>
            </w:pPr>
            <w:r>
              <w:rPr>
                <w:rFonts w:hint="eastAsia"/>
                <w:szCs w:val="21"/>
              </w:rPr>
              <w:t>7</w:t>
            </w:r>
          </w:p>
        </w:tc>
        <w:tc>
          <w:tcPr>
            <w:tcW w:w="2342"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spacing w:line="320" w:lineRule="exact"/>
              <w:rPr>
                <w:szCs w:val="21"/>
              </w:rPr>
            </w:pPr>
            <w:r>
              <w:rPr>
                <w:rFonts w:hint="eastAsia" w:ascii="宋体" w:hAnsi="宋体" w:cs="宋体"/>
                <w:sz w:val="22"/>
                <w:szCs w:val="22"/>
              </w:rPr>
              <w:t>投标产品业绩</w:t>
            </w:r>
          </w:p>
        </w:tc>
        <w:tc>
          <w:tcPr>
            <w:tcW w:w="666" w:type="dxa"/>
            <w:vMerge w:val="restart"/>
            <w:tcBorders>
              <w:top w:val="single" w:color="auto" w:sz="4" w:space="0"/>
              <w:left w:val="nil"/>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6</w:t>
            </w:r>
          </w:p>
        </w:tc>
        <w:tc>
          <w:tcPr>
            <w:tcW w:w="1897" w:type="dxa"/>
            <w:tcBorders>
              <w:top w:val="single" w:color="auto" w:sz="4" w:space="0"/>
              <w:left w:val="nil"/>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4.8-6.0</w:t>
            </w:r>
          </w:p>
        </w:tc>
        <w:tc>
          <w:tcPr>
            <w:tcW w:w="2189"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3.6-4.8</w:t>
            </w:r>
          </w:p>
        </w:tc>
        <w:tc>
          <w:tcPr>
            <w:tcW w:w="2009"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r>
              <w:rPr>
                <w:rFonts w:hint="eastAsia" w:ascii="宋体" w:hAnsi="宋体"/>
                <w:szCs w:val="21"/>
              </w:rPr>
              <w:t>2.4-3.6</w:t>
            </w:r>
          </w:p>
        </w:tc>
      </w:tr>
      <w:tr>
        <w:tblPrEx>
          <w:tblLayout w:type="fixed"/>
          <w:tblCellMar>
            <w:top w:w="0" w:type="dxa"/>
            <w:left w:w="108" w:type="dxa"/>
            <w:bottom w:w="0" w:type="dxa"/>
            <w:right w:w="108" w:type="dxa"/>
          </w:tblCellMar>
        </w:tblPrEx>
        <w:trPr>
          <w:cantSplit/>
          <w:trHeight w:val="235" w:hRule="atLeast"/>
        </w:trPr>
        <w:tc>
          <w:tcPr>
            <w:tcW w:w="479" w:type="dxa"/>
            <w:vMerge w:val="continue"/>
            <w:tcBorders>
              <w:left w:val="single" w:color="auto" w:sz="4" w:space="0"/>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szCs w:val="21"/>
              </w:rPr>
            </w:pPr>
          </w:p>
        </w:tc>
        <w:tc>
          <w:tcPr>
            <w:tcW w:w="2342" w:type="dxa"/>
            <w:vMerge w:val="continue"/>
            <w:tcBorders>
              <w:left w:val="single" w:color="auto" w:sz="4" w:space="0"/>
              <w:bottom w:val="single" w:color="auto" w:sz="4" w:space="0"/>
              <w:right w:val="single" w:color="auto" w:sz="4" w:space="0"/>
            </w:tcBorders>
            <w:vAlign w:val="center"/>
          </w:tcPr>
          <w:p>
            <w:pPr>
              <w:tabs>
                <w:tab w:val="left" w:pos="482"/>
                <w:tab w:val="left" w:pos="2183"/>
                <w:tab w:val="left" w:pos="3884"/>
                <w:tab w:val="left" w:pos="5585"/>
              </w:tabs>
              <w:spacing w:line="320" w:lineRule="exact"/>
              <w:rPr>
                <w:szCs w:val="21"/>
              </w:rPr>
            </w:pPr>
          </w:p>
        </w:tc>
        <w:tc>
          <w:tcPr>
            <w:tcW w:w="666" w:type="dxa"/>
            <w:vMerge w:val="continue"/>
            <w:tcBorders>
              <w:left w:val="nil"/>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ascii="宋体" w:hAnsi="宋体"/>
                <w:szCs w:val="21"/>
              </w:rPr>
            </w:pPr>
          </w:p>
        </w:tc>
        <w:tc>
          <w:tcPr>
            <w:tcW w:w="6095" w:type="dxa"/>
            <w:gridSpan w:val="3"/>
            <w:tcBorders>
              <w:top w:val="single" w:color="auto" w:sz="4" w:space="0"/>
              <w:left w:val="nil"/>
              <w:bottom w:val="single" w:color="auto" w:sz="4" w:space="0"/>
              <w:right w:val="single" w:color="auto" w:sz="4" w:space="0"/>
            </w:tcBorders>
            <w:vAlign w:val="center"/>
          </w:tcPr>
          <w:p>
            <w:pPr>
              <w:tabs>
                <w:tab w:val="left" w:pos="482"/>
                <w:tab w:val="left" w:pos="2183"/>
                <w:tab w:val="left" w:pos="3884"/>
                <w:tab w:val="left" w:pos="5585"/>
              </w:tabs>
              <w:spacing w:line="320" w:lineRule="exact"/>
              <w:jc w:val="center"/>
              <w:rPr>
                <w:rFonts w:hAnsi="宋体"/>
                <w:sz w:val="22"/>
                <w:szCs w:val="22"/>
                <w:lang w:bidi="ar"/>
              </w:rPr>
            </w:pPr>
            <w:r>
              <w:rPr>
                <w:rFonts w:hint="eastAsia" w:ascii="宋体" w:hAnsi="宋体"/>
                <w:sz w:val="22"/>
                <w:szCs w:val="22"/>
              </w:rPr>
              <w:t>2015年1月至今类似玻璃门的业绩（以提供的中标通知书复印件或合同复印件为准）</w:t>
            </w:r>
            <w:r>
              <w:rPr>
                <w:rFonts w:hint="eastAsia" w:ascii="宋体" w:hAnsi="宋体"/>
                <w:szCs w:val="21"/>
              </w:rPr>
              <w:t>，由评委横向比较评定</w:t>
            </w:r>
            <w:r>
              <w:rPr>
                <w:rFonts w:hint="eastAsia" w:ascii="宋体" w:hAnsi="宋体" w:cs="宋体"/>
                <w:sz w:val="22"/>
                <w:szCs w:val="22"/>
              </w:rPr>
              <w:t>。</w:t>
            </w:r>
          </w:p>
        </w:tc>
      </w:tr>
      <w:tr>
        <w:tblPrEx>
          <w:tblLayout w:type="fixed"/>
          <w:tblCellMar>
            <w:top w:w="0" w:type="dxa"/>
            <w:left w:w="108" w:type="dxa"/>
            <w:bottom w:w="0" w:type="dxa"/>
            <w:right w:w="108" w:type="dxa"/>
          </w:tblCellMar>
        </w:tblPrEx>
        <w:trPr>
          <w:cantSplit/>
          <w:trHeight w:val="784" w:hRule="atLeast"/>
        </w:trPr>
        <w:tc>
          <w:tcPr>
            <w:tcW w:w="9582" w:type="dxa"/>
            <w:gridSpan w:val="6"/>
            <w:tcBorders>
              <w:top w:val="single" w:color="auto" w:sz="4" w:space="0"/>
              <w:left w:val="single" w:color="auto" w:sz="4" w:space="0"/>
              <w:bottom w:val="single" w:color="auto" w:sz="4" w:space="0"/>
              <w:right w:val="single" w:color="auto" w:sz="4" w:space="0"/>
            </w:tcBorders>
            <w:vAlign w:val="center"/>
          </w:tcPr>
          <w:p>
            <w:pPr>
              <w:widowControl/>
              <w:tabs>
                <w:tab w:val="left" w:pos="482"/>
                <w:tab w:val="left" w:pos="2183"/>
                <w:tab w:val="left" w:pos="3884"/>
                <w:tab w:val="left" w:pos="5585"/>
              </w:tabs>
              <w:snapToGrid w:val="0"/>
              <w:spacing w:line="320" w:lineRule="exact"/>
              <w:jc w:val="left"/>
              <w:rPr>
                <w:szCs w:val="21"/>
              </w:rPr>
            </w:pPr>
            <w:r>
              <w:rPr>
                <w:szCs w:val="21"/>
              </w:rPr>
              <w:t>注：评标委员会成员各项打分汇总分数的算数平均值为各投标人技术资信标最终得分</w:t>
            </w:r>
            <w:r>
              <w:rPr>
                <w:b/>
                <w:bCs/>
                <w:szCs w:val="21"/>
              </w:rPr>
              <w:t>。</w:t>
            </w:r>
          </w:p>
        </w:tc>
      </w:tr>
    </w:tbl>
    <w:p>
      <w:pPr>
        <w:tabs>
          <w:tab w:val="left" w:pos="482"/>
          <w:tab w:val="left" w:pos="2183"/>
          <w:tab w:val="left" w:pos="3884"/>
          <w:tab w:val="left" w:pos="5585"/>
        </w:tabs>
        <w:autoSpaceDE w:val="0"/>
        <w:autoSpaceDN w:val="0"/>
        <w:spacing w:line="360" w:lineRule="auto"/>
        <w:sectPr>
          <w:headerReference r:id="rId3" w:type="default"/>
          <w:footerReference r:id="rId4" w:type="default"/>
          <w:pgSz w:w="11906" w:h="16838"/>
          <w:pgMar w:top="1134" w:right="1134" w:bottom="1134" w:left="1134" w:header="851" w:footer="851" w:gutter="0"/>
          <w:cols w:space="720" w:num="1"/>
          <w:titlePg/>
          <w:docGrid w:linePitch="312" w:charSpace="0"/>
        </w:sectPr>
      </w:pPr>
      <w:r>
        <w:rPr>
          <w:rFonts w:hAnsi="Arial"/>
          <w:szCs w:val="21"/>
        </w:rPr>
        <w:t>技术资信标评分标准附表：</w:t>
      </w:r>
    </w:p>
    <w:tbl>
      <w:tblPr>
        <w:tblStyle w:val="32"/>
        <w:tblW w:w="966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457"/>
        <w:gridCol w:w="7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blHeader/>
          <w:jc w:val="center"/>
        </w:trPr>
        <w:tc>
          <w:tcPr>
            <w:tcW w:w="1131" w:type="dxa"/>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autoSpaceDE w:val="0"/>
              <w:autoSpaceDN w:val="0"/>
              <w:spacing w:line="320" w:lineRule="exact"/>
              <w:jc w:val="center"/>
              <w:rPr>
                <w:b/>
                <w:szCs w:val="21"/>
              </w:rPr>
            </w:pPr>
            <w:r>
              <w:rPr>
                <w:b/>
                <w:szCs w:val="21"/>
              </w:rPr>
              <w:t>条款号</w:t>
            </w: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pacing w:line="320" w:lineRule="exact"/>
              <w:jc w:val="center"/>
              <w:rPr>
                <w:b/>
                <w:szCs w:val="21"/>
              </w:rPr>
            </w:pPr>
            <w:r>
              <w:rPr>
                <w:b/>
                <w:szCs w:val="21"/>
              </w:rPr>
              <w:t>评审因素</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pacing w:line="320" w:lineRule="exact"/>
              <w:jc w:val="center"/>
              <w:rPr>
                <w:b/>
                <w:szCs w:val="21"/>
              </w:rPr>
            </w:pPr>
            <w:r>
              <w:rPr>
                <w:b/>
                <w:szCs w:val="21"/>
              </w:rPr>
              <w:t>评 审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blHeader/>
          <w:jc w:val="center"/>
        </w:trPr>
        <w:tc>
          <w:tcPr>
            <w:tcW w:w="1131" w:type="dxa"/>
            <w:vMerge w:val="restart"/>
            <w:tcBorders>
              <w:top w:val="single" w:color="auto" w:sz="4" w:space="0"/>
              <w:left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spacing w:line="320" w:lineRule="exact"/>
              <w:ind w:left="113" w:right="113"/>
              <w:jc w:val="center"/>
              <w:rPr>
                <w:szCs w:val="21"/>
              </w:rPr>
            </w:pPr>
            <w:r>
              <w:rPr>
                <w:szCs w:val="21"/>
              </w:rPr>
              <w:t>2.2.3商务标评分标准</w:t>
            </w: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spacing w:line="320" w:lineRule="exact"/>
              <w:jc w:val="center"/>
              <w:rPr>
                <w:szCs w:val="21"/>
              </w:rPr>
            </w:pPr>
            <w:r>
              <w:rPr>
                <w:szCs w:val="21"/>
              </w:rPr>
              <w:t>拦标价</w:t>
            </w:r>
          </w:p>
        </w:tc>
        <w:tc>
          <w:tcPr>
            <w:tcW w:w="7076" w:type="dxa"/>
            <w:tcBorders>
              <w:top w:val="single" w:color="auto" w:sz="4" w:space="0"/>
              <w:left w:val="single" w:color="auto" w:sz="4" w:space="0"/>
              <w:bottom w:val="single" w:color="auto" w:sz="4" w:space="0"/>
              <w:right w:val="single" w:color="auto" w:sz="4" w:space="0"/>
            </w:tcBorders>
            <w:vAlign w:val="center"/>
          </w:tcPr>
          <w:p>
            <w:pPr>
              <w:widowControl/>
              <w:tabs>
                <w:tab w:val="left" w:pos="482"/>
                <w:tab w:val="left" w:pos="2183"/>
                <w:tab w:val="left" w:pos="3884"/>
                <w:tab w:val="left" w:pos="5585"/>
              </w:tabs>
              <w:snapToGrid w:val="0"/>
              <w:spacing w:line="320" w:lineRule="exact"/>
              <w:rPr>
                <w:szCs w:val="21"/>
              </w:rPr>
            </w:pPr>
            <w:r>
              <w:rPr>
                <w:szCs w:val="21"/>
              </w:rPr>
              <w:t>拦标价=</w:t>
            </w:r>
            <w:r>
              <w:rPr>
                <w:rFonts w:hint="eastAsia"/>
                <w:szCs w:val="21"/>
              </w:rPr>
              <w:t>16</w:t>
            </w:r>
            <w:r>
              <w:rPr>
                <w:szCs w:val="2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blHeader/>
          <w:jc w:val="center"/>
        </w:trPr>
        <w:tc>
          <w:tcPr>
            <w:tcW w:w="1131" w:type="dxa"/>
            <w:vMerge w:val="continue"/>
            <w:tcBorders>
              <w:left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spacing w:line="320" w:lineRule="exact"/>
              <w:ind w:left="113" w:right="113"/>
              <w:jc w:val="center"/>
              <w:rPr>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spacing w:line="320" w:lineRule="exact"/>
              <w:jc w:val="center"/>
              <w:rPr>
                <w:szCs w:val="21"/>
              </w:rPr>
            </w:pPr>
            <w:r>
              <w:rPr>
                <w:szCs w:val="21"/>
              </w:rPr>
              <w:t>评标基准价计算方法</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0"/>
                <w:tab w:val="left" w:pos="482"/>
                <w:tab w:val="left" w:pos="2183"/>
                <w:tab w:val="left" w:pos="3884"/>
                <w:tab w:val="left" w:pos="5585"/>
              </w:tabs>
              <w:snapToGrid w:val="0"/>
              <w:spacing w:line="320" w:lineRule="exact"/>
              <w:ind w:firstLine="420" w:firstLineChars="200"/>
              <w:rPr>
                <w:bCs/>
                <w:szCs w:val="21"/>
              </w:rPr>
            </w:pPr>
            <w:r>
              <w:rPr>
                <w:bCs/>
                <w:szCs w:val="21"/>
              </w:rPr>
              <w:t>出现以下情况时，该投标报价不进入评标基准价的计算范围（投标报价以投标人投标函中的投标报价为准，下同）：</w:t>
            </w:r>
            <w:r>
              <w:rPr>
                <w:rFonts w:hint="eastAsia" w:ascii="宋体" w:hAnsi="宋体" w:cs="宋体"/>
                <w:bCs/>
                <w:szCs w:val="21"/>
              </w:rPr>
              <w:t>①</w:t>
            </w:r>
            <w:r>
              <w:rPr>
                <w:bCs/>
                <w:szCs w:val="21"/>
              </w:rPr>
              <w:t>投标人的投标报价高于</w:t>
            </w:r>
            <w:r>
              <w:rPr>
                <w:rFonts w:hint="eastAsia"/>
                <w:bCs/>
                <w:szCs w:val="21"/>
              </w:rPr>
              <w:t>拦</w:t>
            </w:r>
            <w:r>
              <w:rPr>
                <w:bCs/>
                <w:szCs w:val="21"/>
              </w:rPr>
              <w:t>标价的；</w:t>
            </w:r>
            <w:r>
              <w:rPr>
                <w:rFonts w:hint="eastAsia" w:ascii="宋体" w:hAnsi="宋体" w:cs="宋体"/>
                <w:bCs/>
                <w:szCs w:val="21"/>
              </w:rPr>
              <w:t>②</w:t>
            </w:r>
            <w:r>
              <w:rPr>
                <w:bCs/>
                <w:szCs w:val="21"/>
              </w:rPr>
              <w:t>开商务标前已经被否决投标的或经技术标评审未进入后续评审的；</w:t>
            </w:r>
            <w:r>
              <w:rPr>
                <w:rFonts w:hint="eastAsia" w:ascii="宋体" w:hAnsi="宋体" w:cs="宋体"/>
                <w:bCs/>
                <w:szCs w:val="21"/>
              </w:rPr>
              <w:t>③</w:t>
            </w:r>
            <w:r>
              <w:rPr>
                <w:bCs/>
                <w:szCs w:val="21"/>
              </w:rPr>
              <w:t>未提供投标函或投标函中无报价或投标函中出现两个及以上不同报价且未声明哪一个有效的（大小写不一致除外）。</w:t>
            </w:r>
          </w:p>
          <w:p>
            <w:pPr>
              <w:tabs>
                <w:tab w:val="left" w:pos="0"/>
                <w:tab w:val="left" w:pos="482"/>
                <w:tab w:val="left" w:pos="2183"/>
                <w:tab w:val="left" w:pos="3884"/>
                <w:tab w:val="left" w:pos="5585"/>
              </w:tabs>
              <w:snapToGrid w:val="0"/>
              <w:spacing w:line="320" w:lineRule="exact"/>
              <w:ind w:firstLine="420" w:firstLineChars="200"/>
              <w:rPr>
                <w:szCs w:val="21"/>
              </w:rPr>
            </w:pPr>
            <w:r>
              <w:rPr>
                <w:rFonts w:hint="eastAsia"/>
                <w:bCs/>
                <w:szCs w:val="21"/>
              </w:rPr>
              <w:t>除上述情况外，有效投标人投标报价的算数平均值为评标基准价；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blHeader/>
          <w:jc w:val="center"/>
        </w:trPr>
        <w:tc>
          <w:tcPr>
            <w:tcW w:w="1131" w:type="dxa"/>
            <w:vMerge w:val="continue"/>
            <w:tcBorders>
              <w:left w:val="single" w:color="auto" w:sz="4" w:space="0"/>
              <w:right w:val="single" w:color="auto" w:sz="4" w:space="0"/>
            </w:tcBorders>
            <w:vAlign w:val="center"/>
          </w:tcPr>
          <w:p>
            <w:pPr>
              <w:tabs>
                <w:tab w:val="left" w:pos="482"/>
                <w:tab w:val="left" w:pos="2183"/>
                <w:tab w:val="left" w:pos="3884"/>
                <w:tab w:val="left" w:pos="5585"/>
              </w:tabs>
              <w:snapToGrid w:val="0"/>
              <w:spacing w:line="320" w:lineRule="exact"/>
              <w:jc w:val="center"/>
              <w:rPr>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spacing w:line="320" w:lineRule="exact"/>
              <w:jc w:val="center"/>
              <w:rPr>
                <w:szCs w:val="21"/>
              </w:rPr>
            </w:pPr>
            <w:r>
              <w:rPr>
                <w:szCs w:val="21"/>
              </w:rPr>
              <w:t>投标报价的偏差率计算公式</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spacing w:line="320" w:lineRule="exact"/>
              <w:rPr>
                <w:szCs w:val="21"/>
              </w:rPr>
            </w:pPr>
            <w:r>
              <w:rPr>
                <w:rFonts w:hint="eastAsia"/>
                <w:bCs/>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blHeader/>
          <w:jc w:val="center"/>
        </w:trPr>
        <w:tc>
          <w:tcPr>
            <w:tcW w:w="1131" w:type="dxa"/>
            <w:vMerge w:val="continue"/>
            <w:tcBorders>
              <w:left w:val="single" w:color="auto" w:sz="4" w:space="0"/>
              <w:right w:val="single" w:color="auto" w:sz="4" w:space="0"/>
            </w:tcBorders>
            <w:vAlign w:val="center"/>
          </w:tcPr>
          <w:p>
            <w:pPr>
              <w:tabs>
                <w:tab w:val="left" w:pos="482"/>
                <w:tab w:val="left" w:pos="2183"/>
                <w:tab w:val="left" w:pos="3884"/>
                <w:tab w:val="left" w:pos="5585"/>
              </w:tabs>
              <w:snapToGrid w:val="0"/>
              <w:spacing w:line="320" w:lineRule="exact"/>
              <w:jc w:val="center"/>
              <w:rPr>
                <w:szCs w:val="21"/>
              </w:rPr>
            </w:pP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spacing w:line="320" w:lineRule="exact"/>
              <w:jc w:val="center"/>
              <w:rPr>
                <w:szCs w:val="21"/>
              </w:rPr>
            </w:pPr>
            <w:r>
              <w:rPr>
                <w:szCs w:val="21"/>
              </w:rPr>
              <w:t>投标报价得分计算</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spacing w:line="320" w:lineRule="exact"/>
              <w:jc w:val="left"/>
              <w:rPr>
                <w:szCs w:val="21"/>
              </w:rPr>
            </w:pPr>
            <w:r>
              <w:rPr>
                <w:szCs w:val="21"/>
              </w:rPr>
              <w:t>计算公式</w:t>
            </w:r>
          </w:p>
          <w:p>
            <w:pPr>
              <w:tabs>
                <w:tab w:val="left" w:pos="0"/>
                <w:tab w:val="left" w:pos="482"/>
                <w:tab w:val="left" w:pos="2183"/>
                <w:tab w:val="left" w:pos="3884"/>
                <w:tab w:val="left" w:pos="5585"/>
              </w:tabs>
              <w:snapToGrid w:val="0"/>
              <w:spacing w:line="320" w:lineRule="exact"/>
              <w:rPr>
                <w:bCs/>
                <w:szCs w:val="21"/>
              </w:rPr>
            </w:pPr>
            <w:r>
              <w:rPr>
                <w:rFonts w:hint="eastAsia"/>
                <w:bCs/>
                <w:szCs w:val="21"/>
              </w:rPr>
              <w:t>1.投标报价等于评标基准价时：</w:t>
            </w:r>
            <w:r>
              <w:rPr>
                <w:bCs/>
                <w:szCs w:val="21"/>
              </w:rPr>
              <w:t>商务标得分=</w:t>
            </w:r>
            <w:r>
              <w:rPr>
                <w:rFonts w:hint="eastAsia"/>
                <w:bCs/>
                <w:szCs w:val="21"/>
              </w:rPr>
              <w:t>6</w:t>
            </w:r>
            <w:r>
              <w:rPr>
                <w:bCs/>
                <w:szCs w:val="21"/>
              </w:rPr>
              <w:t>0</w:t>
            </w:r>
            <w:r>
              <w:rPr>
                <w:rFonts w:hint="eastAsia"/>
                <w:bCs/>
                <w:szCs w:val="21"/>
              </w:rPr>
              <w:t>；</w:t>
            </w:r>
          </w:p>
          <w:p>
            <w:pPr>
              <w:tabs>
                <w:tab w:val="left" w:pos="0"/>
                <w:tab w:val="left" w:pos="482"/>
                <w:tab w:val="left" w:pos="2183"/>
                <w:tab w:val="left" w:pos="3884"/>
                <w:tab w:val="left" w:pos="5585"/>
              </w:tabs>
              <w:snapToGrid w:val="0"/>
              <w:spacing w:line="320" w:lineRule="exact"/>
              <w:rPr>
                <w:bCs/>
                <w:szCs w:val="21"/>
              </w:rPr>
            </w:pPr>
            <w:r>
              <w:rPr>
                <w:rFonts w:hint="eastAsia"/>
                <w:bCs/>
                <w:szCs w:val="21"/>
              </w:rPr>
              <w:t>2.投标报价高于评标基准价时：</w:t>
            </w:r>
            <w:r>
              <w:rPr>
                <w:bCs/>
                <w:szCs w:val="21"/>
              </w:rPr>
              <w:t>商务标得分=</w:t>
            </w:r>
            <w:r>
              <w:rPr>
                <w:rFonts w:hint="eastAsia"/>
                <w:bCs/>
                <w:szCs w:val="21"/>
              </w:rPr>
              <w:t>（评标基准价/投标人投标报价）×60% ×100</w:t>
            </w:r>
          </w:p>
          <w:p>
            <w:pPr>
              <w:tabs>
                <w:tab w:val="left" w:pos="0"/>
                <w:tab w:val="left" w:pos="482"/>
                <w:tab w:val="left" w:pos="2183"/>
                <w:tab w:val="left" w:pos="3884"/>
                <w:tab w:val="left" w:pos="5585"/>
              </w:tabs>
              <w:snapToGrid w:val="0"/>
              <w:spacing w:line="320" w:lineRule="exact"/>
              <w:rPr>
                <w:bCs/>
                <w:szCs w:val="21"/>
              </w:rPr>
            </w:pPr>
            <w:r>
              <w:rPr>
                <w:rFonts w:hint="eastAsia"/>
                <w:bCs/>
                <w:szCs w:val="21"/>
              </w:rPr>
              <w:t>3. 投标报价低于评标基准价时：</w:t>
            </w:r>
            <w:r>
              <w:rPr>
                <w:bCs/>
                <w:szCs w:val="21"/>
              </w:rPr>
              <w:t>商务标得分=</w:t>
            </w:r>
            <w:r>
              <w:rPr>
                <w:rFonts w:hint="eastAsia"/>
                <w:bCs/>
                <w:szCs w:val="21"/>
              </w:rPr>
              <w:t>（投标人投标报价/评标基准价）×60%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20" w:hRule="atLeast"/>
          <w:tblHeader/>
          <w:jc w:val="center"/>
        </w:trPr>
        <w:tc>
          <w:tcPr>
            <w:tcW w:w="2588" w:type="dxa"/>
            <w:gridSpan w:val="2"/>
            <w:tcBorders>
              <w:left w:val="single" w:color="auto" w:sz="4" w:space="0"/>
              <w:right w:val="single" w:color="auto" w:sz="4" w:space="0"/>
            </w:tcBorders>
            <w:vAlign w:val="center"/>
          </w:tcPr>
          <w:p>
            <w:pPr>
              <w:tabs>
                <w:tab w:val="left" w:pos="482"/>
                <w:tab w:val="left" w:pos="2183"/>
                <w:tab w:val="left" w:pos="3884"/>
                <w:tab w:val="left" w:pos="5585"/>
              </w:tabs>
              <w:snapToGrid w:val="0"/>
              <w:spacing w:line="320" w:lineRule="exact"/>
              <w:jc w:val="center"/>
              <w:rPr>
                <w:szCs w:val="21"/>
              </w:rPr>
            </w:pPr>
            <w:r>
              <w:rPr>
                <w:szCs w:val="21"/>
              </w:rPr>
              <w:t>2.2.4</w:t>
            </w:r>
          </w:p>
          <w:p>
            <w:pPr>
              <w:tabs>
                <w:tab w:val="left" w:pos="482"/>
                <w:tab w:val="left" w:pos="2183"/>
                <w:tab w:val="left" w:pos="3884"/>
                <w:tab w:val="left" w:pos="5585"/>
              </w:tabs>
              <w:snapToGrid w:val="0"/>
              <w:spacing w:line="320" w:lineRule="exact"/>
              <w:jc w:val="center"/>
              <w:rPr>
                <w:szCs w:val="21"/>
              </w:rPr>
            </w:pPr>
            <w:r>
              <w:rPr>
                <w:szCs w:val="21"/>
              </w:rPr>
              <w:t>其他评审因素评分标准</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spacing w:line="320" w:lineRule="exact"/>
              <w:jc w:val="left"/>
              <w:rPr>
                <w:szCs w:val="21"/>
              </w:rPr>
            </w:pPr>
            <w:r>
              <w:rPr>
                <w:rFonts w:hint="eastAsia"/>
                <w:bCs/>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blHeader/>
          <w:jc w:val="center"/>
        </w:trPr>
        <w:tc>
          <w:tcPr>
            <w:tcW w:w="1131" w:type="dxa"/>
            <w:tcBorders>
              <w:left w:val="single" w:color="auto" w:sz="4" w:space="0"/>
              <w:right w:val="single" w:color="auto" w:sz="4" w:space="0"/>
            </w:tcBorders>
            <w:vAlign w:val="center"/>
          </w:tcPr>
          <w:p>
            <w:pPr>
              <w:tabs>
                <w:tab w:val="left" w:pos="482"/>
                <w:tab w:val="left" w:pos="2183"/>
                <w:tab w:val="left" w:pos="3884"/>
                <w:tab w:val="left" w:pos="5585"/>
              </w:tabs>
              <w:snapToGrid w:val="0"/>
              <w:spacing w:line="320" w:lineRule="exact"/>
              <w:jc w:val="center"/>
              <w:rPr>
                <w:szCs w:val="21"/>
              </w:rPr>
            </w:pPr>
            <w:r>
              <w:rPr>
                <w:szCs w:val="21"/>
              </w:rPr>
              <w:t>2.2.5</w:t>
            </w: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spacing w:line="320" w:lineRule="exact"/>
              <w:jc w:val="center"/>
              <w:rPr>
                <w:szCs w:val="21"/>
              </w:rPr>
            </w:pPr>
            <w:r>
              <w:rPr>
                <w:szCs w:val="21"/>
              </w:rPr>
              <w:t>评标程序</w:t>
            </w: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spacing w:line="320" w:lineRule="exact"/>
              <w:jc w:val="left"/>
              <w:rPr>
                <w:szCs w:val="21"/>
              </w:rPr>
            </w:pPr>
            <w:r>
              <w:rPr>
                <w:rFonts w:hAnsi="宋体"/>
                <w:szCs w:val="21"/>
              </w:rPr>
              <w:t>①</w:t>
            </w:r>
            <w:r>
              <w:rPr>
                <w:szCs w:val="21"/>
              </w:rPr>
              <w:t>首先进行技术资信标评审；</w:t>
            </w:r>
            <w:r>
              <w:rPr>
                <w:rFonts w:hAnsi="宋体"/>
                <w:szCs w:val="21"/>
              </w:rPr>
              <w:t>②</w:t>
            </w:r>
            <w:r>
              <w:rPr>
                <w:szCs w:val="21"/>
              </w:rPr>
              <w:t>然后开商务标，再进行商务标评审。；</w:t>
            </w:r>
            <w:r>
              <w:rPr>
                <w:rFonts w:hAnsi="宋体"/>
                <w:szCs w:val="21"/>
              </w:rPr>
              <w:t>③</w:t>
            </w:r>
            <w:r>
              <w:rPr>
                <w:szCs w:val="21"/>
              </w:rPr>
              <w:t>最后</w:t>
            </w:r>
            <w:r>
              <w:rPr>
                <w:rFonts w:hint="eastAsia"/>
                <w:szCs w:val="21"/>
              </w:rPr>
              <w:t>资格审查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blHeader/>
          <w:jc w:val="center"/>
        </w:trPr>
        <w:tc>
          <w:tcPr>
            <w:tcW w:w="1131" w:type="dxa"/>
            <w:tcBorders>
              <w:left w:val="single" w:color="auto" w:sz="4" w:space="0"/>
              <w:right w:val="single" w:color="auto" w:sz="4" w:space="0"/>
            </w:tcBorders>
            <w:vAlign w:val="center"/>
          </w:tcPr>
          <w:p>
            <w:pPr>
              <w:tabs>
                <w:tab w:val="left" w:pos="482"/>
                <w:tab w:val="left" w:pos="2183"/>
                <w:tab w:val="left" w:pos="3884"/>
                <w:tab w:val="left" w:pos="5585"/>
              </w:tabs>
              <w:snapToGrid w:val="0"/>
              <w:spacing w:line="320" w:lineRule="exact"/>
              <w:jc w:val="center"/>
              <w:rPr>
                <w:szCs w:val="21"/>
              </w:rPr>
            </w:pPr>
            <w:r>
              <w:rPr>
                <w:szCs w:val="21"/>
              </w:rPr>
              <w:t>3.4评标结果</w:t>
            </w:r>
          </w:p>
        </w:tc>
        <w:tc>
          <w:tcPr>
            <w:tcW w:w="1457"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snapToGrid w:val="0"/>
              <w:spacing w:line="320" w:lineRule="exact"/>
              <w:jc w:val="center"/>
              <w:rPr>
                <w:szCs w:val="21"/>
              </w:rPr>
            </w:pPr>
          </w:p>
        </w:tc>
        <w:tc>
          <w:tcPr>
            <w:tcW w:w="7076" w:type="dxa"/>
            <w:tcBorders>
              <w:top w:val="single" w:color="auto" w:sz="4" w:space="0"/>
              <w:left w:val="single" w:color="auto" w:sz="4" w:space="0"/>
              <w:bottom w:val="single" w:color="auto" w:sz="4" w:space="0"/>
              <w:right w:val="single" w:color="auto" w:sz="4" w:space="0"/>
            </w:tcBorders>
            <w:vAlign w:val="center"/>
          </w:tcPr>
          <w:p>
            <w:pPr>
              <w:tabs>
                <w:tab w:val="left" w:pos="482"/>
                <w:tab w:val="left" w:pos="2183"/>
                <w:tab w:val="left" w:pos="3884"/>
                <w:tab w:val="left" w:pos="5585"/>
              </w:tabs>
              <w:autoSpaceDE w:val="0"/>
              <w:autoSpaceDN w:val="0"/>
              <w:snapToGrid w:val="0"/>
              <w:spacing w:line="320" w:lineRule="exact"/>
              <w:jc w:val="left"/>
              <w:rPr>
                <w:szCs w:val="21"/>
              </w:rPr>
            </w:pPr>
            <w:r>
              <w:rPr>
                <w:szCs w:val="21"/>
              </w:rPr>
              <w:t>评标委员会在有效投标人中根据投标人得分从高到低进行排名（</w:t>
            </w:r>
            <w:bookmarkStart w:id="227" w:name="OLE_LINK10"/>
            <w:r>
              <w:rPr>
                <w:szCs w:val="21"/>
              </w:rPr>
              <w:t>技术资信标得分与商务标得分相加为投标人得分，</w:t>
            </w:r>
            <w:bookmarkStart w:id="228" w:name="OLE_LINK7"/>
            <w:r>
              <w:rPr>
                <w:szCs w:val="21"/>
              </w:rPr>
              <w:t>得分相同时，以</w:t>
            </w:r>
            <w:r>
              <w:rPr>
                <w:rFonts w:hint="eastAsia"/>
                <w:szCs w:val="21"/>
              </w:rPr>
              <w:t>技术资信标得分高者</w:t>
            </w:r>
            <w:r>
              <w:rPr>
                <w:szCs w:val="21"/>
              </w:rPr>
              <w:t>优先</w:t>
            </w:r>
            <w:bookmarkEnd w:id="228"/>
            <w:r>
              <w:rPr>
                <w:szCs w:val="21"/>
              </w:rPr>
              <w:t>；</w:t>
            </w:r>
            <w:r>
              <w:rPr>
                <w:rFonts w:hint="eastAsia"/>
                <w:szCs w:val="21"/>
              </w:rPr>
              <w:t>技术资信标得分也</w:t>
            </w:r>
            <w:r>
              <w:rPr>
                <w:szCs w:val="21"/>
              </w:rPr>
              <w:t>相同时，以报价低者优先</w:t>
            </w:r>
            <w:r>
              <w:rPr>
                <w:rFonts w:hint="eastAsia"/>
                <w:szCs w:val="21"/>
              </w:rPr>
              <w:t>;</w:t>
            </w:r>
            <w:r>
              <w:rPr>
                <w:szCs w:val="21"/>
              </w:rPr>
              <w:t>得分与报价</w:t>
            </w:r>
            <w:r>
              <w:rPr>
                <w:rFonts w:hint="eastAsia"/>
                <w:szCs w:val="21"/>
              </w:rPr>
              <w:t>都</w:t>
            </w:r>
            <w:r>
              <w:rPr>
                <w:szCs w:val="21"/>
              </w:rPr>
              <w:t>相同时，以抽签决定名次</w:t>
            </w:r>
            <w:bookmarkEnd w:id="227"/>
            <w:r>
              <w:rPr>
                <w:szCs w:val="21"/>
              </w:rPr>
              <w:t>），评标委员会推荐排名第一、第二的投标人为第一、第二中标候选人。若全部投标文件评审完毕时有效投标人仍少于3家的时候，经评标委员会认定具有竞争效果的，评标委员会可以按招标文件的相关规定及评标办法向招标人直接推荐中标候选。</w:t>
            </w:r>
          </w:p>
        </w:tc>
      </w:tr>
    </w:tbl>
    <w:p>
      <w:pPr>
        <w:pStyle w:val="56"/>
      </w:pPr>
      <w:bookmarkStart w:id="229" w:name="_Toc152042377"/>
      <w:bookmarkStart w:id="230" w:name="_Toc152045600"/>
      <w:bookmarkStart w:id="231" w:name="_Toc361338289"/>
      <w:bookmarkStart w:id="232" w:name="_Toc144974567"/>
      <w:r>
        <w:rPr>
          <w:rFonts w:hint="eastAsia"/>
        </w:rPr>
        <w:t>1. 评标方法</w:t>
      </w:r>
      <w:bookmarkEnd w:id="229"/>
      <w:bookmarkEnd w:id="230"/>
      <w:bookmarkEnd w:id="231"/>
      <w:bookmarkEnd w:id="232"/>
    </w:p>
    <w:p>
      <w:pPr>
        <w:snapToGrid w:val="0"/>
        <w:spacing w:line="400" w:lineRule="exact"/>
        <w:ind w:firstLine="420" w:firstLineChars="200"/>
      </w:pPr>
      <w:r>
        <w:rPr>
          <w:rFonts w:hint="eastAsia"/>
        </w:rPr>
        <w:t>本次评标采用综合评估法。评标委员会对满足招标文件实质性要求的投标文件，按照本章第2条规定的评审标准和第3条规定的评标程序进行评审、打分，并按</w:t>
      </w:r>
      <w:r>
        <w:rPr>
          <w:rFonts w:hint="eastAsia" w:ascii="宋体" w:hAnsi="宋体"/>
        </w:rPr>
        <w:t>综合得分</w:t>
      </w:r>
      <w:r>
        <w:rPr>
          <w:rFonts w:hint="eastAsia"/>
        </w:rPr>
        <w:t>由高到低顺序推荐中标候选人。</w:t>
      </w:r>
    </w:p>
    <w:p>
      <w:pPr>
        <w:snapToGrid w:val="0"/>
        <w:spacing w:line="400" w:lineRule="exact"/>
        <w:ind w:firstLine="420" w:firstLineChars="200"/>
        <w:rPr>
          <w:rFonts w:ascii="宋体" w:hAnsi="宋体"/>
        </w:rPr>
      </w:pPr>
      <w:r>
        <w:rPr>
          <w:rFonts w:hint="eastAsia" w:ascii="宋体" w:hAnsi="宋体"/>
          <w:szCs w:val="21"/>
        </w:rPr>
        <w:t>某阶段性评分相同影响进入下阶段评标的，如该阶段为暗标形式的则采用评委投票方式确定名次，如该阶段为明标形式的则采用抽签方式确定名次。综合</w:t>
      </w:r>
      <w:r>
        <w:rPr>
          <w:rFonts w:hint="eastAsia"/>
        </w:rPr>
        <w:t>评分相等时，</w:t>
      </w:r>
      <w:r>
        <w:rPr>
          <w:rFonts w:hint="eastAsia" w:ascii="宋体" w:hAnsi="宋体"/>
          <w:szCs w:val="21"/>
        </w:rPr>
        <w:t>取商务标投标报价低者为名次优先者；若商务标投标报价还是相同，则抽签确定名次。</w:t>
      </w:r>
      <w:r>
        <w:rPr>
          <w:rFonts w:hint="eastAsia" w:ascii="宋体" w:hAnsi="宋体"/>
        </w:rPr>
        <w:t>本评标办法中涉及到小数位的计算除另有约定外，均保留二位小数，第三位四舍五入。</w:t>
      </w:r>
    </w:p>
    <w:p>
      <w:pPr>
        <w:pStyle w:val="56"/>
      </w:pPr>
      <w:bookmarkStart w:id="233" w:name="_Toc361338290"/>
      <w:bookmarkStart w:id="234" w:name="_Toc152045601"/>
      <w:bookmarkStart w:id="235" w:name="_Toc144974568"/>
      <w:bookmarkStart w:id="236" w:name="_Toc152042378"/>
      <w:r>
        <w:rPr>
          <w:rFonts w:hint="eastAsia"/>
        </w:rPr>
        <w:t>2. 评审标准</w:t>
      </w:r>
    </w:p>
    <w:p>
      <w:pPr>
        <w:snapToGrid w:val="0"/>
        <w:spacing w:line="400" w:lineRule="exact"/>
        <w:ind w:firstLine="420" w:firstLineChars="200"/>
        <w:rPr>
          <w:rFonts w:ascii="宋体" w:hAnsi="宋体"/>
        </w:rPr>
      </w:pPr>
      <w:r>
        <w:rPr>
          <w:rFonts w:hint="eastAsia" w:ascii="宋体" w:hAnsi="宋体"/>
        </w:rPr>
        <w:t>2.1商务标评分标准</w:t>
      </w:r>
    </w:p>
    <w:p>
      <w:pPr>
        <w:snapToGrid w:val="0"/>
        <w:spacing w:line="400" w:lineRule="exact"/>
        <w:ind w:firstLine="420" w:firstLineChars="200"/>
        <w:rPr>
          <w:rFonts w:ascii="宋体" w:hAnsi="宋体"/>
        </w:rPr>
      </w:pPr>
      <w:r>
        <w:rPr>
          <w:rFonts w:hint="eastAsia" w:ascii="宋体" w:hAnsi="宋体"/>
        </w:rPr>
        <w:t>（1）本工程设最高限价：评标办法前附表；</w:t>
      </w:r>
    </w:p>
    <w:p>
      <w:pPr>
        <w:snapToGrid w:val="0"/>
        <w:spacing w:line="400" w:lineRule="exact"/>
        <w:ind w:firstLine="420" w:firstLineChars="200"/>
        <w:rPr>
          <w:rFonts w:ascii="宋体" w:hAnsi="宋体"/>
        </w:rPr>
      </w:pPr>
      <w:r>
        <w:rPr>
          <w:rFonts w:hint="eastAsia" w:ascii="宋体" w:hAnsi="宋体"/>
        </w:rPr>
        <w:t>（2）评标服务费的确定：评标办法前附表；</w:t>
      </w:r>
    </w:p>
    <w:p>
      <w:pPr>
        <w:snapToGrid w:val="0"/>
        <w:spacing w:line="400" w:lineRule="exact"/>
        <w:ind w:firstLine="420" w:firstLineChars="200"/>
        <w:rPr>
          <w:rFonts w:ascii="宋体" w:hAnsi="宋体"/>
        </w:rPr>
      </w:pPr>
      <w:r>
        <w:rPr>
          <w:rFonts w:hint="eastAsia" w:ascii="宋体" w:hAnsi="宋体"/>
        </w:rPr>
        <w:t>（3）</w:t>
      </w:r>
      <w:r>
        <w:rPr>
          <w:rFonts w:ascii="宋体" w:hAnsi="宋体"/>
        </w:rPr>
        <w:t>商务标评分值</w:t>
      </w:r>
      <w:r>
        <w:rPr>
          <w:rFonts w:hint="eastAsia" w:ascii="宋体" w:hAnsi="宋体"/>
        </w:rPr>
        <w:t>计算</w:t>
      </w:r>
      <w:r>
        <w:rPr>
          <w:rFonts w:ascii="宋体" w:hAnsi="宋体"/>
        </w:rPr>
        <w:t>：</w:t>
      </w:r>
      <w:r>
        <w:rPr>
          <w:rFonts w:hint="eastAsia" w:ascii="宋体" w:hAnsi="宋体"/>
        </w:rPr>
        <w:t>评标办法前附表；</w:t>
      </w:r>
    </w:p>
    <w:p>
      <w:pPr>
        <w:snapToGrid w:val="0"/>
        <w:spacing w:line="400" w:lineRule="exact"/>
        <w:ind w:firstLine="420" w:firstLineChars="200"/>
        <w:rPr>
          <w:rFonts w:ascii="宋体" w:hAnsi="宋体"/>
        </w:rPr>
      </w:pPr>
      <w:r>
        <w:rPr>
          <w:rFonts w:hint="eastAsia" w:ascii="宋体" w:hAnsi="宋体"/>
        </w:rPr>
        <w:t>2.2技术标评分标准：见评标办法前附表；</w:t>
      </w:r>
    </w:p>
    <w:p>
      <w:pPr>
        <w:snapToGrid w:val="0"/>
        <w:spacing w:line="400" w:lineRule="exact"/>
        <w:ind w:firstLine="420" w:firstLineChars="200"/>
        <w:rPr>
          <w:rFonts w:ascii="宋体" w:hAnsi="宋体"/>
        </w:rPr>
      </w:pPr>
      <w:r>
        <w:rPr>
          <w:rFonts w:hint="eastAsia" w:ascii="宋体" w:hAnsi="宋体"/>
        </w:rPr>
        <w:t>2.3资信标评分标准：见评标办法前附表；</w:t>
      </w:r>
    </w:p>
    <w:p>
      <w:pPr>
        <w:snapToGrid w:val="0"/>
        <w:spacing w:line="400" w:lineRule="exact"/>
        <w:ind w:firstLine="420" w:firstLineChars="200"/>
        <w:rPr>
          <w:rFonts w:ascii="宋体" w:hAnsi="宋体"/>
        </w:rPr>
      </w:pPr>
      <w:r>
        <w:rPr>
          <w:rFonts w:hint="eastAsia" w:ascii="宋体" w:hAnsi="宋体"/>
        </w:rPr>
        <w:t>2.4答辩评分标准：见评标办法前附表；</w:t>
      </w:r>
    </w:p>
    <w:p>
      <w:pPr>
        <w:snapToGrid w:val="0"/>
        <w:spacing w:line="400" w:lineRule="exact"/>
        <w:ind w:firstLine="420" w:firstLineChars="200"/>
        <w:rPr>
          <w:rFonts w:ascii="宋体" w:hAnsi="宋体"/>
        </w:rPr>
      </w:pPr>
      <w:r>
        <w:rPr>
          <w:rFonts w:hint="eastAsia" w:ascii="宋体" w:hAnsi="宋体"/>
        </w:rPr>
        <w:t>2.5其他评分因素评分标准：见评标办法前附表；</w:t>
      </w:r>
    </w:p>
    <w:p>
      <w:pPr>
        <w:snapToGrid w:val="0"/>
        <w:spacing w:line="400" w:lineRule="exact"/>
        <w:ind w:firstLine="420" w:firstLineChars="200"/>
        <w:rPr>
          <w:rFonts w:ascii="宋体" w:hAnsi="宋体"/>
        </w:rPr>
      </w:pPr>
      <w:r>
        <w:rPr>
          <w:rFonts w:hint="eastAsia" w:ascii="宋体" w:hAnsi="宋体"/>
        </w:rPr>
        <w:t>2.6资格审查标准：见评标办法前附表；</w:t>
      </w:r>
    </w:p>
    <w:p>
      <w:pPr>
        <w:snapToGrid w:val="0"/>
        <w:spacing w:line="400" w:lineRule="exact"/>
        <w:ind w:firstLine="420" w:firstLineChars="200"/>
        <w:rPr>
          <w:rFonts w:ascii="宋体" w:hAnsi="宋体"/>
        </w:rPr>
      </w:pPr>
      <w:r>
        <w:rPr>
          <w:rFonts w:hint="eastAsia" w:ascii="宋体" w:hAnsi="宋体"/>
        </w:rPr>
        <w:t>2.7形式评审标准：见评标办法前附表；</w:t>
      </w:r>
    </w:p>
    <w:p>
      <w:pPr>
        <w:snapToGrid w:val="0"/>
        <w:spacing w:line="400" w:lineRule="exact"/>
        <w:ind w:firstLine="420" w:firstLineChars="200"/>
        <w:rPr>
          <w:rFonts w:ascii="宋体" w:hAnsi="宋体"/>
        </w:rPr>
      </w:pPr>
      <w:r>
        <w:rPr>
          <w:rFonts w:hint="eastAsia" w:ascii="宋体" w:hAnsi="宋体"/>
        </w:rPr>
        <w:t>2.8响应性评审标准：见评标办法前附表。</w:t>
      </w:r>
    </w:p>
    <w:p>
      <w:pPr>
        <w:snapToGrid w:val="0"/>
        <w:spacing w:line="400" w:lineRule="exact"/>
        <w:ind w:firstLine="420" w:firstLineChars="200"/>
        <w:rPr>
          <w:rFonts w:ascii="宋体" w:hAnsi="宋体"/>
        </w:rPr>
      </w:pPr>
      <w:r>
        <w:rPr>
          <w:rFonts w:hint="eastAsia" w:ascii="宋体" w:hAnsi="宋体"/>
        </w:rPr>
        <w:t>2.9分值构成：见评标办法前附表。</w:t>
      </w:r>
    </w:p>
    <w:p>
      <w:pPr>
        <w:pStyle w:val="56"/>
      </w:pPr>
      <w:r>
        <w:rPr>
          <w:rFonts w:hint="eastAsia"/>
        </w:rPr>
        <w:t>3. 评标程序</w:t>
      </w:r>
      <w:bookmarkEnd w:id="233"/>
    </w:p>
    <w:p>
      <w:pPr>
        <w:snapToGrid w:val="0"/>
        <w:spacing w:line="400" w:lineRule="exact"/>
        <w:ind w:firstLine="315" w:firstLineChars="150"/>
      </w:pPr>
      <w:r>
        <w:rPr>
          <w:rFonts w:hint="eastAsia"/>
        </w:rPr>
        <w:t>3.1评标程序：评标办法前附表；</w:t>
      </w:r>
    </w:p>
    <w:p>
      <w:pPr>
        <w:snapToGrid w:val="0"/>
        <w:spacing w:line="400" w:lineRule="exact"/>
        <w:ind w:firstLine="315" w:firstLineChars="150"/>
      </w:pPr>
      <w:r>
        <w:rPr>
          <w:rFonts w:hint="eastAsia"/>
        </w:rPr>
        <w:t>3.2</w:t>
      </w:r>
      <w:r>
        <w:rPr>
          <w:rFonts w:hint="eastAsia" w:ascii="宋体" w:hAnsi="宋体"/>
        </w:rPr>
        <w:t>评标服务费的确定</w:t>
      </w:r>
      <w:r>
        <w:rPr>
          <w:rFonts w:hint="eastAsia"/>
        </w:rPr>
        <w:t>后，除计算错误外不再受其他任何因素（包括评标结束后投标人有异议而否决其投标处理等因素）的影响而改变。</w:t>
      </w:r>
    </w:p>
    <w:p>
      <w:pPr>
        <w:snapToGrid w:val="0"/>
        <w:spacing w:line="400" w:lineRule="exact"/>
        <w:ind w:firstLine="315" w:firstLineChars="150"/>
      </w:pPr>
      <w:r>
        <w:rPr>
          <w:rFonts w:hint="eastAsia"/>
        </w:rPr>
        <w:t>3.3</w:t>
      </w:r>
      <w:r>
        <w:rPr>
          <w:rFonts w:ascii="宋体" w:hAnsi="宋体"/>
          <w:bCs/>
        </w:rPr>
        <w:t>商务标算术性错误</w:t>
      </w:r>
      <w:r>
        <w:rPr>
          <w:rFonts w:hint="eastAsia" w:ascii="宋体" w:hAnsi="宋体"/>
          <w:bCs/>
        </w:rPr>
        <w:t>：</w:t>
      </w:r>
    </w:p>
    <w:p>
      <w:pPr>
        <w:snapToGrid w:val="0"/>
        <w:spacing w:line="400" w:lineRule="exact"/>
        <w:ind w:firstLine="315" w:firstLineChars="150"/>
      </w:pPr>
      <w:r>
        <w:rPr>
          <w:rFonts w:ascii="宋体" w:hAnsi="宋体"/>
          <w:bCs/>
        </w:rPr>
        <w:t>商务标中出现以下情况时，由投标人的法定代表人或其授权委托人予以签字确认。如果投标人拒绝签字，则按投标违约对待。</w:t>
      </w:r>
    </w:p>
    <w:p>
      <w:pPr>
        <w:snapToGrid w:val="0"/>
        <w:spacing w:line="400" w:lineRule="exact"/>
        <w:ind w:firstLine="315" w:firstLineChars="150"/>
      </w:pPr>
      <w:r>
        <w:rPr>
          <w:rFonts w:hint="eastAsia" w:ascii="宋体" w:hAnsi="宋体"/>
          <w:bCs/>
        </w:rPr>
        <w:t>（1）</w:t>
      </w:r>
      <w:r>
        <w:rPr>
          <w:rFonts w:ascii="宋体" w:hAnsi="宋体"/>
          <w:bCs/>
        </w:rPr>
        <w:t>用数字表示的数额与用文字表示的数额不一致时，以文字数额为准；</w:t>
      </w:r>
    </w:p>
    <w:p>
      <w:pPr>
        <w:snapToGrid w:val="0"/>
        <w:spacing w:line="400" w:lineRule="exact"/>
        <w:ind w:firstLine="315" w:firstLineChars="150"/>
      </w:pPr>
      <w:r>
        <w:rPr>
          <w:rFonts w:hint="eastAsia" w:ascii="宋体" w:hAnsi="宋体"/>
          <w:bCs/>
        </w:rPr>
        <w:t>（2）</w:t>
      </w:r>
      <w:r>
        <w:rPr>
          <w:rFonts w:ascii="宋体" w:hAnsi="宋体"/>
          <w:bCs/>
        </w:rPr>
        <w:t>当单价与数量的乘积与合价不一致时，以单价为准，除非评标委员会认为单价有明显的小数点错误除外；</w:t>
      </w:r>
    </w:p>
    <w:p>
      <w:pPr>
        <w:snapToGrid w:val="0"/>
        <w:spacing w:line="400" w:lineRule="exact"/>
        <w:ind w:firstLine="315" w:firstLineChars="150"/>
      </w:pPr>
      <w:r>
        <w:rPr>
          <w:rFonts w:hint="eastAsia" w:ascii="宋体" w:hAnsi="宋体"/>
          <w:bCs/>
        </w:rPr>
        <w:t>（3）</w:t>
      </w:r>
      <w:r>
        <w:rPr>
          <w:rFonts w:ascii="宋体" w:hAnsi="宋体"/>
          <w:bCs/>
        </w:rPr>
        <w:t>合计累计金额与小计(合计)金额不一致的，以合计累计金额为准;</w:t>
      </w:r>
    </w:p>
    <w:p>
      <w:pPr>
        <w:snapToGrid w:val="0"/>
        <w:spacing w:line="400" w:lineRule="exact"/>
        <w:ind w:firstLine="315" w:firstLineChars="150"/>
        <w:rPr>
          <w:rFonts w:ascii="宋体" w:hAnsi="宋体"/>
          <w:bCs/>
        </w:rPr>
      </w:pPr>
      <w:r>
        <w:rPr>
          <w:rFonts w:hint="eastAsia" w:ascii="宋体" w:hAnsi="宋体"/>
          <w:bCs/>
        </w:rPr>
        <w:t>（4）</w:t>
      </w:r>
      <w:r>
        <w:rPr>
          <w:rFonts w:ascii="宋体" w:hAnsi="宋体"/>
          <w:bCs/>
        </w:rPr>
        <w:t>正本与副本不一致的以正本为准。</w:t>
      </w:r>
    </w:p>
    <w:p>
      <w:pPr>
        <w:autoSpaceDE w:val="0"/>
        <w:autoSpaceDN w:val="0"/>
        <w:snapToGrid w:val="0"/>
        <w:spacing w:line="400" w:lineRule="exact"/>
        <w:ind w:firstLine="420" w:firstLineChars="200"/>
        <w:jc w:val="left"/>
        <w:rPr>
          <w:rFonts w:ascii="宋体" w:hAnsi="宋体"/>
          <w:b/>
          <w:bCs/>
        </w:rPr>
      </w:pPr>
      <w:r>
        <w:rPr>
          <w:rFonts w:hint="eastAsia" w:ascii="宋体" w:hAnsi="宋体"/>
          <w:bCs/>
        </w:rPr>
        <w:t>3.4</w:t>
      </w:r>
      <w:bookmarkEnd w:id="234"/>
      <w:bookmarkEnd w:id="235"/>
      <w:bookmarkEnd w:id="236"/>
      <w:r>
        <w:rPr>
          <w:rFonts w:hint="eastAsia" w:ascii="宋体" w:hAnsi="宋体"/>
          <w:b/>
        </w:rPr>
        <w:t>投标人文件评审</w:t>
      </w:r>
    </w:p>
    <w:p>
      <w:pPr>
        <w:autoSpaceDE w:val="0"/>
        <w:autoSpaceDN w:val="0"/>
        <w:snapToGrid w:val="0"/>
        <w:spacing w:line="400" w:lineRule="exact"/>
        <w:ind w:firstLine="422" w:firstLineChars="200"/>
        <w:jc w:val="left"/>
        <w:rPr>
          <w:rFonts w:ascii="宋体" w:hAnsi="宋体"/>
          <w:bCs/>
        </w:rPr>
      </w:pPr>
      <w:r>
        <w:rPr>
          <w:rFonts w:hint="eastAsia" w:ascii="宋体" w:hAnsi="宋体"/>
          <w:b/>
          <w:bCs/>
        </w:rPr>
        <w:t>评标委员会根据评标办法前附表中规定的评审因素和评审标准，对投标人的投标文件进行形式评审、响应性评审和资格评审，评标委员会认定投标人的投标不符合评标办法前附表形式评审、响应性评审和资格评审中规定的任何一项评审标准的，评标委员会应当否决其投标。</w:t>
      </w:r>
    </w:p>
    <w:p>
      <w:pPr>
        <w:autoSpaceDE w:val="0"/>
        <w:autoSpaceDN w:val="0"/>
        <w:snapToGrid w:val="0"/>
        <w:spacing w:line="400" w:lineRule="exact"/>
        <w:ind w:firstLine="422" w:firstLineChars="200"/>
        <w:jc w:val="left"/>
        <w:rPr>
          <w:rFonts w:ascii="宋体" w:hAnsi="宋体"/>
          <w:bCs/>
        </w:rPr>
      </w:pPr>
      <w:r>
        <w:rPr>
          <w:rFonts w:hint="eastAsia" w:ascii="宋体" w:hAnsi="宋体" w:cs="仿宋_GB2312"/>
          <w:b/>
        </w:rPr>
        <w:t>3.5投标文件的澄清和补正</w:t>
      </w:r>
    </w:p>
    <w:p>
      <w:pPr>
        <w:autoSpaceDE w:val="0"/>
        <w:autoSpaceDN w:val="0"/>
        <w:snapToGrid w:val="0"/>
        <w:spacing w:line="400" w:lineRule="exact"/>
        <w:ind w:firstLine="420" w:firstLineChars="200"/>
        <w:jc w:val="left"/>
        <w:rPr>
          <w:rFonts w:ascii="宋体" w:hAnsi="宋体"/>
          <w:bCs/>
        </w:rPr>
      </w:pPr>
      <w:r>
        <w:rPr>
          <w:rFonts w:hint="eastAsia" w:ascii="宋体" w:hAnsi="宋体"/>
        </w:rPr>
        <w:t>3.5.1在评标过程中，评标委员会可以书面形式要求投标人对所提交的投标文件中不明确的内容进行书面澄清或说明，或者对细微偏差进行补正。评标委员会不接受投标人主动提出的澄清、说明或补正。</w:t>
      </w:r>
    </w:p>
    <w:p>
      <w:pPr>
        <w:autoSpaceDE w:val="0"/>
        <w:autoSpaceDN w:val="0"/>
        <w:snapToGrid w:val="0"/>
        <w:spacing w:line="400" w:lineRule="exact"/>
        <w:ind w:firstLine="420" w:firstLineChars="200"/>
        <w:jc w:val="left"/>
        <w:rPr>
          <w:rFonts w:ascii="宋体" w:hAnsi="宋体"/>
          <w:bCs/>
        </w:rPr>
      </w:pPr>
      <w:r>
        <w:rPr>
          <w:rFonts w:hint="eastAsia" w:ascii="宋体" w:hAnsi="宋体"/>
        </w:rPr>
        <w:t>3.5.2澄清、说明和补正不得改变投标文件的实质性内容（算术性错误修正的除外）。投标人的书面澄清、说明和补正属于投标文件的组成部分。</w:t>
      </w:r>
    </w:p>
    <w:p>
      <w:pPr>
        <w:autoSpaceDE w:val="0"/>
        <w:autoSpaceDN w:val="0"/>
        <w:snapToGrid w:val="0"/>
        <w:spacing w:line="400" w:lineRule="exact"/>
        <w:ind w:firstLine="420" w:firstLineChars="200"/>
        <w:jc w:val="left"/>
        <w:rPr>
          <w:rFonts w:ascii="宋体" w:hAnsi="宋体"/>
        </w:rPr>
      </w:pPr>
      <w:r>
        <w:rPr>
          <w:rFonts w:hint="eastAsia" w:ascii="宋体" w:hAnsi="宋体"/>
        </w:rPr>
        <w:t>3.5.3评标委员会对投标人提交的澄清、说明或补正有疑问的，可以要求投标人进一步澄清、说明或补正，直至满足评标委员会的要求。</w:t>
      </w:r>
    </w:p>
    <w:p>
      <w:pPr>
        <w:autoSpaceDE w:val="0"/>
        <w:autoSpaceDN w:val="0"/>
        <w:snapToGrid w:val="0"/>
        <w:spacing w:line="400" w:lineRule="exact"/>
        <w:ind w:firstLine="420" w:firstLineChars="200"/>
        <w:jc w:val="left"/>
        <w:rPr>
          <w:rFonts w:ascii="宋体" w:hAnsi="宋体"/>
          <w:bCs/>
        </w:rPr>
      </w:pPr>
      <w:r>
        <w:rPr>
          <w:rFonts w:hint="eastAsia" w:ascii="宋体" w:hAnsi="宋体"/>
        </w:rPr>
        <w:t>3.5.4投标人</w:t>
      </w:r>
      <w:r>
        <w:rPr>
          <w:rFonts w:hint="eastAsia"/>
        </w:rPr>
        <w:t>不按评标委员会要求澄清、说明或补正的，评标委员会可否决其投标。</w:t>
      </w:r>
    </w:p>
    <w:p>
      <w:pPr>
        <w:autoSpaceDE w:val="0"/>
        <w:autoSpaceDN w:val="0"/>
        <w:snapToGrid w:val="0"/>
        <w:spacing w:line="400" w:lineRule="exact"/>
        <w:ind w:firstLine="422" w:firstLineChars="200"/>
        <w:jc w:val="left"/>
        <w:rPr>
          <w:rFonts w:ascii="宋体" w:hAnsi="宋体"/>
          <w:bCs/>
        </w:rPr>
      </w:pPr>
      <w:r>
        <w:rPr>
          <w:rFonts w:hint="eastAsia" w:ascii="宋体" w:hAnsi="宋体" w:cs="仿宋_GB2312"/>
          <w:b/>
        </w:rPr>
        <w:t>3.6评标结果</w:t>
      </w:r>
    </w:p>
    <w:p>
      <w:pPr>
        <w:autoSpaceDE w:val="0"/>
        <w:autoSpaceDN w:val="0"/>
        <w:snapToGrid w:val="0"/>
        <w:spacing w:line="400" w:lineRule="exact"/>
        <w:ind w:firstLine="420" w:firstLineChars="200"/>
        <w:jc w:val="left"/>
        <w:rPr>
          <w:rFonts w:ascii="宋体" w:hAnsi="宋体"/>
          <w:bCs/>
        </w:rPr>
      </w:pPr>
      <w:r>
        <w:rPr>
          <w:rFonts w:hint="eastAsia" w:ascii="宋体" w:hAnsi="宋体"/>
        </w:rPr>
        <w:t>3.6.1评标委员会按本章第2.2款规定的量化因素和分值进行打分，并计算出综合评估得分。</w:t>
      </w:r>
    </w:p>
    <w:p>
      <w:pPr>
        <w:spacing w:line="400" w:lineRule="exact"/>
        <w:ind w:firstLine="428" w:firstLineChars="204"/>
        <w:rPr>
          <w:rFonts w:ascii="宋体" w:hAnsi="宋体"/>
        </w:rPr>
      </w:pPr>
      <w:r>
        <w:rPr>
          <w:rFonts w:hint="eastAsia" w:ascii="宋体" w:hAnsi="宋体"/>
        </w:rPr>
        <w:t>（1）按本章第2.1项规定的评审因素和分值对商务标计算出得分A；</w:t>
      </w:r>
    </w:p>
    <w:p>
      <w:pPr>
        <w:spacing w:line="400" w:lineRule="exact"/>
        <w:ind w:firstLine="428" w:firstLineChars="204"/>
        <w:rPr>
          <w:rFonts w:ascii="宋体" w:hAnsi="宋体"/>
        </w:rPr>
      </w:pPr>
      <w:r>
        <w:rPr>
          <w:rFonts w:hint="eastAsia" w:ascii="宋体" w:hAnsi="宋体"/>
        </w:rPr>
        <w:t>（2）按本章第2.2项目规定的评审因素和分值对技术标计算出得分B；</w:t>
      </w:r>
    </w:p>
    <w:p>
      <w:pPr>
        <w:snapToGrid w:val="0"/>
        <w:spacing w:line="400" w:lineRule="exact"/>
        <w:ind w:firstLine="428" w:firstLineChars="204"/>
        <w:rPr>
          <w:rFonts w:ascii="宋体" w:hAnsi="宋体"/>
        </w:rPr>
      </w:pPr>
      <w:r>
        <w:rPr>
          <w:rFonts w:hint="eastAsia" w:ascii="宋体" w:hAnsi="宋体"/>
        </w:rPr>
        <w:t>（3）按本章第2.3项目规定的评审因素和分值对资信标计算出得分C；</w:t>
      </w:r>
    </w:p>
    <w:p>
      <w:pPr>
        <w:snapToGrid w:val="0"/>
        <w:spacing w:line="400" w:lineRule="exact"/>
        <w:ind w:firstLine="428" w:firstLineChars="204"/>
        <w:rPr>
          <w:rFonts w:ascii="宋体" w:hAnsi="宋体"/>
        </w:rPr>
      </w:pPr>
      <w:r>
        <w:rPr>
          <w:rFonts w:hint="eastAsia" w:ascii="宋体" w:hAnsi="宋体"/>
        </w:rPr>
        <w:t>（4）按本章第2.4项目规定的评审因素和分值对答辩计算出得分D；</w:t>
      </w:r>
    </w:p>
    <w:p>
      <w:pPr>
        <w:snapToGrid w:val="0"/>
        <w:spacing w:line="400" w:lineRule="exact"/>
        <w:ind w:firstLine="428" w:firstLineChars="204"/>
        <w:rPr>
          <w:rFonts w:ascii="宋体" w:hAnsi="宋体"/>
        </w:rPr>
      </w:pPr>
      <w:r>
        <w:rPr>
          <w:rFonts w:hint="eastAsia" w:ascii="宋体" w:hAnsi="宋体"/>
        </w:rPr>
        <w:t>（5）按本章第2.5项目规定的评审因素和分值对其他评分因素计算出得分E；</w:t>
      </w:r>
    </w:p>
    <w:p>
      <w:pPr>
        <w:snapToGrid w:val="0"/>
        <w:spacing w:line="400" w:lineRule="exact"/>
        <w:ind w:firstLine="428" w:firstLineChars="204"/>
        <w:rPr>
          <w:rFonts w:ascii="宋体" w:hAnsi="宋体"/>
        </w:rPr>
      </w:pPr>
      <w:r>
        <w:rPr>
          <w:rFonts w:hint="eastAsia" w:ascii="宋体" w:hAnsi="宋体"/>
        </w:rPr>
        <w:t>3.6.2投标人得分</w:t>
      </w:r>
      <w:r>
        <w:rPr>
          <w:rFonts w:hint="eastAsia"/>
        </w:rPr>
        <w:t>见评标办法前附表。</w:t>
      </w:r>
    </w:p>
    <w:p>
      <w:pPr>
        <w:snapToGrid w:val="0"/>
        <w:spacing w:line="400" w:lineRule="exact"/>
        <w:ind w:firstLine="420" w:firstLineChars="200"/>
        <w:rPr>
          <w:rFonts w:ascii="宋体" w:hAnsi="宋体"/>
        </w:rPr>
      </w:pPr>
      <w:r>
        <w:rPr>
          <w:rFonts w:hint="eastAsia" w:ascii="宋体" w:hAnsi="宋体"/>
        </w:rPr>
        <w:t>3.6.3除第二章“投标人须知”前附表授权直接确定中标人外，评标委员会按照得分由高到低的顺序推荐中标候选人。</w:t>
      </w:r>
    </w:p>
    <w:p>
      <w:pPr>
        <w:snapToGrid w:val="0"/>
        <w:spacing w:line="400" w:lineRule="exact"/>
        <w:ind w:firstLine="420" w:firstLineChars="200"/>
        <w:rPr>
          <w:rFonts w:ascii="宋体" w:hAnsi="宋体"/>
        </w:rPr>
      </w:pPr>
      <w:r>
        <w:rPr>
          <w:rFonts w:hint="eastAsia" w:ascii="宋体" w:hAnsi="宋体"/>
        </w:rPr>
        <w:t>3.6.4评标委员会完成评标后，应当向招标人提交书面评标报告。</w:t>
      </w:r>
    </w:p>
    <w:p>
      <w:pPr>
        <w:snapToGrid w:val="0"/>
        <w:spacing w:line="400" w:lineRule="exact"/>
        <w:rPr>
          <w:rFonts w:ascii="宋体" w:hAnsi="宋体"/>
        </w:rPr>
      </w:pPr>
    </w:p>
    <w:p>
      <w:pPr>
        <w:pStyle w:val="2"/>
        <w:numPr>
          <w:ilvl w:val="0"/>
          <w:numId w:val="5"/>
        </w:numPr>
        <w:spacing w:before="120" w:after="120" w:line="400" w:lineRule="exact"/>
        <w:jc w:val="center"/>
        <w:rPr>
          <w:rFonts w:ascii="黑体" w:hAnsi="黑体" w:eastAsia="黑体"/>
          <w:b w:val="0"/>
          <w:bCs w:val="0"/>
          <w:sz w:val="32"/>
        </w:rPr>
      </w:pPr>
      <w:bookmarkStart w:id="237" w:name="_Toc361338296"/>
      <w:bookmarkStart w:id="238" w:name="_Toc144974577"/>
      <w:bookmarkStart w:id="239" w:name="_Toc152042387"/>
      <w:bookmarkStart w:id="240" w:name="_Toc152045609"/>
      <w:r>
        <w:rPr>
          <w:rFonts w:hint="eastAsia" w:ascii="黑体" w:hAnsi="黑体" w:eastAsia="黑体"/>
          <w:b w:val="0"/>
          <w:bCs w:val="0"/>
          <w:sz w:val="32"/>
        </w:rPr>
        <w:br w:type="page"/>
      </w:r>
      <w:r>
        <w:rPr>
          <w:rFonts w:hint="eastAsia" w:ascii="黑体" w:hAnsi="黑体" w:eastAsia="黑体"/>
          <w:b w:val="0"/>
          <w:bCs w:val="0"/>
          <w:sz w:val="32"/>
        </w:rPr>
        <w:t>合同主要条款</w:t>
      </w:r>
      <w:bookmarkEnd w:id="237"/>
      <w:bookmarkEnd w:id="238"/>
      <w:bookmarkEnd w:id="239"/>
      <w:bookmarkEnd w:id="240"/>
      <w:r>
        <w:rPr>
          <w:rFonts w:hint="eastAsia" w:ascii="黑体" w:hAnsi="黑体" w:eastAsia="黑体"/>
          <w:b w:val="0"/>
          <w:bCs w:val="0"/>
          <w:sz w:val="32"/>
        </w:rPr>
        <w:t>及格式</w:t>
      </w:r>
    </w:p>
    <w:p/>
    <w:p>
      <w:pPr>
        <w:tabs>
          <w:tab w:val="left" w:pos="482"/>
          <w:tab w:val="left" w:pos="2183"/>
          <w:tab w:val="left" w:pos="3884"/>
          <w:tab w:val="left" w:pos="5585"/>
        </w:tabs>
        <w:spacing w:line="520" w:lineRule="exact"/>
        <w:textAlignment w:val="baseline"/>
        <w:rPr>
          <w:rFonts w:ascii="宋体" w:hAnsi="宋体" w:cs="宋体"/>
          <w:sz w:val="22"/>
          <w:szCs w:val="22"/>
        </w:rPr>
      </w:pPr>
      <w:bookmarkStart w:id="241" w:name="_Toc366242973"/>
      <w:r>
        <w:rPr>
          <w:rFonts w:hint="eastAsia" w:ascii="宋体" w:hAnsi="宋体" w:cs="宋体"/>
          <w:sz w:val="22"/>
          <w:szCs w:val="22"/>
        </w:rPr>
        <w:t>发包方（以下简称甲方）：</w:t>
      </w:r>
      <w:r>
        <w:rPr>
          <w:rFonts w:hint="eastAsia" w:ascii="宋体" w:hAnsi="宋体" w:cs="宋体"/>
          <w:sz w:val="22"/>
          <w:szCs w:val="22"/>
          <w:u w:val="single"/>
        </w:rPr>
        <w:t xml:space="preserve">温州市中医院                       </w:t>
      </w:r>
    </w:p>
    <w:p>
      <w:pPr>
        <w:tabs>
          <w:tab w:val="left" w:pos="482"/>
          <w:tab w:val="left" w:pos="2183"/>
          <w:tab w:val="left" w:pos="3884"/>
          <w:tab w:val="left" w:pos="5585"/>
        </w:tabs>
        <w:spacing w:line="20" w:lineRule="atLeast"/>
        <w:rPr>
          <w:rFonts w:ascii="宋体" w:hAnsi="宋体" w:cs="宋体"/>
          <w:sz w:val="22"/>
          <w:szCs w:val="22"/>
          <w:u w:val="single"/>
        </w:rPr>
      </w:pPr>
      <w:r>
        <w:rPr>
          <w:rFonts w:hint="eastAsia" w:ascii="宋体" w:hAnsi="宋体" w:cs="宋体"/>
          <w:sz w:val="22"/>
          <w:szCs w:val="22"/>
        </w:rPr>
        <w:t>承包方（以下简称乙方）：</w:t>
      </w:r>
      <w:r>
        <w:rPr>
          <w:rFonts w:hint="eastAsia" w:ascii="宋体" w:hAnsi="宋体" w:cs="宋体"/>
          <w:sz w:val="22"/>
          <w:szCs w:val="22"/>
          <w:u w:val="single"/>
        </w:rPr>
        <w:t xml:space="preserve">                           </w:t>
      </w:r>
    </w:p>
    <w:p>
      <w:pPr>
        <w:tabs>
          <w:tab w:val="left" w:pos="482"/>
          <w:tab w:val="left" w:pos="2183"/>
          <w:tab w:val="left" w:pos="3884"/>
          <w:tab w:val="left" w:pos="5585"/>
        </w:tabs>
        <w:spacing w:line="20" w:lineRule="atLeast"/>
        <w:ind w:firstLine="440" w:firstLineChars="200"/>
        <w:rPr>
          <w:rFonts w:ascii="宋体" w:hAnsi="宋体" w:cs="宋体"/>
          <w:sz w:val="22"/>
          <w:szCs w:val="22"/>
        </w:rPr>
      </w:pPr>
      <w:r>
        <w:rPr>
          <w:rFonts w:hint="eastAsia" w:ascii="宋体" w:hAnsi="宋体" w:cs="宋体"/>
          <w:sz w:val="22"/>
          <w:szCs w:val="22"/>
        </w:rPr>
        <w:t>应甲方需要，依照《中华人民共和国合同法》、《中华人民共和国建筑法》及其他有关法律、法规的规定，遵循平等、自愿、公平和诚实信用原则，双方就温州市中医院六虹桥院区综合楼病房玻璃门及门禁安装工程协商一致，特订立本协议。</w:t>
      </w:r>
    </w:p>
    <w:p>
      <w:pPr>
        <w:tabs>
          <w:tab w:val="left" w:pos="482"/>
          <w:tab w:val="left" w:pos="2183"/>
          <w:tab w:val="left" w:pos="3884"/>
          <w:tab w:val="left" w:pos="5585"/>
        </w:tabs>
        <w:spacing w:line="520" w:lineRule="exact"/>
        <w:ind w:firstLine="440" w:firstLineChars="200"/>
        <w:textAlignment w:val="baseline"/>
        <w:rPr>
          <w:rFonts w:ascii="宋体" w:hAnsi="宋体" w:cs="宋体"/>
          <w:sz w:val="22"/>
          <w:szCs w:val="22"/>
          <w:u w:val="single"/>
        </w:rPr>
      </w:pPr>
      <w:r>
        <w:rPr>
          <w:rFonts w:hint="eastAsia" w:ascii="宋体" w:hAnsi="宋体" w:cs="宋体"/>
          <w:sz w:val="22"/>
          <w:szCs w:val="22"/>
        </w:rPr>
        <w:t>一、工程名称：</w:t>
      </w:r>
      <w:r>
        <w:rPr>
          <w:rFonts w:hint="eastAsia" w:ascii="宋体" w:hAnsi="宋体" w:cs="宋体"/>
          <w:sz w:val="22"/>
          <w:szCs w:val="22"/>
          <w:u w:val="single"/>
        </w:rPr>
        <w:t xml:space="preserve">温州市中医院六虹桥院区综合楼病房玻璃门及门禁安装工程          </w:t>
      </w:r>
    </w:p>
    <w:p>
      <w:pPr>
        <w:tabs>
          <w:tab w:val="left" w:pos="482"/>
          <w:tab w:val="left" w:pos="2183"/>
          <w:tab w:val="left" w:pos="3884"/>
          <w:tab w:val="left" w:pos="5585"/>
        </w:tabs>
        <w:spacing w:line="520" w:lineRule="exact"/>
        <w:ind w:firstLine="440" w:firstLineChars="200"/>
        <w:textAlignment w:val="baseline"/>
        <w:rPr>
          <w:rFonts w:ascii="宋体" w:hAnsi="宋体" w:cs="宋体"/>
          <w:sz w:val="22"/>
          <w:szCs w:val="22"/>
          <w:u w:val="single"/>
        </w:rPr>
      </w:pPr>
      <w:r>
        <w:rPr>
          <w:rFonts w:hint="eastAsia" w:ascii="宋体" w:hAnsi="宋体" w:cs="宋体"/>
          <w:sz w:val="22"/>
          <w:szCs w:val="22"/>
        </w:rPr>
        <w:t>二、工程地点：</w:t>
      </w:r>
      <w:r>
        <w:rPr>
          <w:rFonts w:hint="eastAsia" w:ascii="宋体" w:hAnsi="宋体" w:cs="宋体"/>
          <w:sz w:val="22"/>
          <w:szCs w:val="22"/>
          <w:u w:val="single"/>
        </w:rPr>
        <w:t xml:space="preserve">  温州市中医院六虹桥院区                    </w:t>
      </w:r>
    </w:p>
    <w:p>
      <w:pPr>
        <w:tabs>
          <w:tab w:val="left" w:pos="482"/>
          <w:tab w:val="left" w:pos="2183"/>
          <w:tab w:val="left" w:pos="3884"/>
          <w:tab w:val="left" w:pos="5585"/>
        </w:tabs>
        <w:spacing w:line="520" w:lineRule="exact"/>
        <w:ind w:firstLine="440" w:firstLineChars="200"/>
        <w:textAlignment w:val="baseline"/>
        <w:rPr>
          <w:rFonts w:ascii="宋体" w:hAnsi="宋体" w:cs="宋体"/>
          <w:sz w:val="22"/>
          <w:szCs w:val="22"/>
        </w:rPr>
      </w:pPr>
      <w:r>
        <w:rPr>
          <w:rFonts w:hint="eastAsia" w:ascii="宋体" w:hAnsi="宋体" w:cs="宋体"/>
          <w:sz w:val="22"/>
          <w:szCs w:val="22"/>
        </w:rPr>
        <w:t>三、工程承包范围：</w:t>
      </w:r>
    </w:p>
    <w:p>
      <w:pPr>
        <w:tabs>
          <w:tab w:val="left" w:pos="482"/>
          <w:tab w:val="left" w:pos="2183"/>
          <w:tab w:val="left" w:pos="3884"/>
          <w:tab w:val="left" w:pos="5585"/>
        </w:tabs>
        <w:spacing w:line="580" w:lineRule="exact"/>
        <w:ind w:firstLine="440" w:firstLineChars="200"/>
        <w:textAlignment w:val="baseline"/>
        <w:rPr>
          <w:rFonts w:ascii="宋体" w:hAnsi="宋体" w:cs="宋体"/>
          <w:sz w:val="22"/>
          <w:szCs w:val="22"/>
        </w:rPr>
      </w:pPr>
      <w:r>
        <w:rPr>
          <w:rFonts w:hint="eastAsia" w:ascii="宋体" w:hAnsi="宋体" w:cs="宋体"/>
          <w:sz w:val="22"/>
          <w:szCs w:val="22"/>
        </w:rPr>
        <w:t>温州市中医院六虹桥院区综合楼病房玻璃门及门禁安装，具体以图纸及清单为准。</w:t>
      </w:r>
    </w:p>
    <w:p>
      <w:pPr>
        <w:tabs>
          <w:tab w:val="left" w:pos="482"/>
          <w:tab w:val="left" w:pos="2183"/>
          <w:tab w:val="left" w:pos="3884"/>
          <w:tab w:val="left" w:pos="5585"/>
        </w:tabs>
        <w:spacing w:line="580" w:lineRule="exact"/>
        <w:ind w:firstLine="440" w:firstLineChars="200"/>
        <w:textAlignment w:val="baseline"/>
        <w:rPr>
          <w:rFonts w:ascii="宋体" w:hAnsi="宋体" w:cs="宋体"/>
          <w:sz w:val="22"/>
          <w:szCs w:val="22"/>
        </w:rPr>
      </w:pPr>
      <w:r>
        <w:rPr>
          <w:rFonts w:hint="eastAsia" w:ascii="宋体" w:hAnsi="宋体" w:cs="宋体"/>
          <w:sz w:val="22"/>
          <w:szCs w:val="22"/>
        </w:rPr>
        <w:t>四、工程造价：</w:t>
      </w:r>
    </w:p>
    <w:p>
      <w:pPr>
        <w:tabs>
          <w:tab w:val="left" w:pos="482"/>
          <w:tab w:val="left" w:pos="2183"/>
          <w:tab w:val="left" w:pos="3884"/>
          <w:tab w:val="left" w:pos="5585"/>
        </w:tabs>
        <w:spacing w:line="360" w:lineRule="auto"/>
        <w:ind w:firstLine="440" w:firstLineChars="200"/>
        <w:jc w:val="left"/>
        <w:rPr>
          <w:rFonts w:ascii="宋体" w:hAnsi="宋体" w:cs="宋体"/>
          <w:sz w:val="22"/>
          <w:szCs w:val="22"/>
          <w:u w:val="single"/>
        </w:rPr>
      </w:pPr>
      <w:r>
        <w:rPr>
          <w:rFonts w:hint="eastAsia" w:ascii="宋体" w:hAnsi="宋体" w:cs="宋体"/>
          <w:sz w:val="22"/>
          <w:szCs w:val="22"/>
        </w:rPr>
        <w:t>本工程合同价</w:t>
      </w:r>
      <w:r>
        <w:rPr>
          <w:rFonts w:hint="eastAsia" w:ascii="宋体" w:hAnsi="宋体" w:cs="宋体"/>
          <w:sz w:val="22"/>
          <w:szCs w:val="22"/>
          <w:u w:val="single"/>
        </w:rPr>
        <w:t xml:space="preserve">         </w:t>
      </w:r>
      <w:r>
        <w:rPr>
          <w:rFonts w:hint="eastAsia" w:ascii="宋体" w:hAnsi="宋体" w:cs="宋体"/>
          <w:sz w:val="22"/>
          <w:szCs w:val="22"/>
        </w:rPr>
        <w:t>元，（大写金额：</w:t>
      </w:r>
      <w:r>
        <w:rPr>
          <w:rFonts w:hint="eastAsia" w:ascii="宋体" w:hAnsi="宋体" w:cs="宋体"/>
          <w:sz w:val="22"/>
          <w:szCs w:val="22"/>
          <w:u w:val="single"/>
        </w:rPr>
        <w:t xml:space="preserve">                          </w:t>
      </w:r>
      <w:r>
        <w:rPr>
          <w:rFonts w:hint="eastAsia" w:ascii="宋体" w:hAnsi="宋体" w:cs="宋体"/>
          <w:sz w:val="22"/>
          <w:szCs w:val="22"/>
        </w:rPr>
        <w:t xml:space="preserve">整）。合同价格形式：单价合同，最终结算价格以第三方造价咨询单位审核为准。                </w:t>
      </w:r>
      <w:r>
        <w:rPr>
          <w:rFonts w:hint="eastAsia" w:ascii="宋体" w:hAnsi="宋体" w:cs="宋体"/>
          <w:sz w:val="22"/>
          <w:szCs w:val="22"/>
          <w:u w:val="single"/>
        </w:rPr>
        <w:t xml:space="preserve">                                </w:t>
      </w:r>
    </w:p>
    <w:p>
      <w:pPr>
        <w:tabs>
          <w:tab w:val="left" w:pos="482"/>
          <w:tab w:val="left" w:pos="2183"/>
          <w:tab w:val="left" w:pos="3884"/>
          <w:tab w:val="left" w:pos="5585"/>
        </w:tabs>
        <w:spacing w:line="520" w:lineRule="exact"/>
        <w:ind w:firstLine="440" w:firstLineChars="200"/>
        <w:textAlignment w:val="baseline"/>
        <w:rPr>
          <w:rFonts w:ascii="宋体" w:hAnsi="宋体" w:cs="宋体"/>
          <w:sz w:val="22"/>
          <w:szCs w:val="22"/>
        </w:rPr>
      </w:pPr>
      <w:r>
        <w:rPr>
          <w:rFonts w:hint="eastAsia" w:ascii="宋体" w:hAnsi="宋体" w:cs="宋体"/>
          <w:sz w:val="22"/>
          <w:szCs w:val="22"/>
        </w:rPr>
        <w:t>五、付款方式：</w:t>
      </w:r>
    </w:p>
    <w:p>
      <w:pPr>
        <w:tabs>
          <w:tab w:val="left" w:pos="482"/>
          <w:tab w:val="left" w:pos="2183"/>
          <w:tab w:val="left" w:pos="3884"/>
          <w:tab w:val="left" w:pos="5585"/>
        </w:tabs>
        <w:spacing w:line="520" w:lineRule="exact"/>
        <w:ind w:firstLine="440" w:firstLineChars="200"/>
        <w:textAlignment w:val="baseline"/>
        <w:rPr>
          <w:rFonts w:ascii="宋体" w:hAnsi="宋体" w:cs="宋体"/>
          <w:sz w:val="22"/>
          <w:szCs w:val="22"/>
        </w:rPr>
      </w:pPr>
      <w:r>
        <w:rPr>
          <w:rFonts w:hint="eastAsia" w:ascii="宋体" w:hAnsi="宋体" w:cs="宋体"/>
          <w:sz w:val="22"/>
          <w:szCs w:val="22"/>
        </w:rPr>
        <w:t xml:space="preserve">在合同签订后乙方需支付给甲方合同价5%的履约保证金，工程整体完成并经验收合格，甲方支付合同价80%的工程进度款，并退还履约保证金。经第三方造价咨询单位审核完成竣工结算后支付至结算价的97.5%。余款结算价2.5%作为工程质量保修金（质量缺陷责任期满2年后十个工作日内退还，不计息）。 </w:t>
      </w:r>
    </w:p>
    <w:p>
      <w:pPr>
        <w:tabs>
          <w:tab w:val="left" w:pos="482"/>
          <w:tab w:val="left" w:pos="2183"/>
          <w:tab w:val="left" w:pos="3884"/>
          <w:tab w:val="left" w:pos="5585"/>
        </w:tabs>
        <w:spacing w:line="520" w:lineRule="exact"/>
        <w:ind w:firstLine="440" w:firstLineChars="200"/>
        <w:textAlignment w:val="baseline"/>
        <w:rPr>
          <w:rFonts w:ascii="宋体" w:hAnsi="宋体" w:cs="宋体"/>
          <w:sz w:val="22"/>
          <w:szCs w:val="22"/>
        </w:rPr>
      </w:pPr>
      <w:r>
        <w:rPr>
          <w:rFonts w:hint="eastAsia" w:ascii="宋体" w:hAnsi="宋体" w:cs="宋体"/>
          <w:sz w:val="22"/>
          <w:szCs w:val="22"/>
        </w:rPr>
        <w:t>六、工程工期：</w:t>
      </w:r>
    </w:p>
    <w:p>
      <w:pPr>
        <w:tabs>
          <w:tab w:val="left" w:pos="482"/>
          <w:tab w:val="left" w:pos="2183"/>
          <w:tab w:val="left" w:pos="3884"/>
          <w:tab w:val="left" w:pos="5585"/>
        </w:tabs>
        <w:spacing w:line="520" w:lineRule="exact"/>
        <w:ind w:firstLine="440" w:firstLineChars="200"/>
        <w:textAlignment w:val="baseline"/>
        <w:rPr>
          <w:rFonts w:ascii="宋体" w:hAnsi="宋体" w:cs="宋体"/>
          <w:sz w:val="22"/>
          <w:szCs w:val="22"/>
        </w:rPr>
      </w:pPr>
      <w:r>
        <w:rPr>
          <w:rFonts w:hint="eastAsia" w:ascii="宋体" w:hAnsi="宋体" w:cs="宋体"/>
          <w:sz w:val="22"/>
          <w:szCs w:val="22"/>
        </w:rPr>
        <w:t>工期总日历天数为</w:t>
      </w:r>
      <w:r>
        <w:rPr>
          <w:rFonts w:hint="eastAsia" w:ascii="宋体" w:hAnsi="宋体" w:cs="宋体"/>
          <w:sz w:val="22"/>
          <w:szCs w:val="22"/>
          <w:u w:val="single"/>
        </w:rPr>
        <w:t xml:space="preserve"> 30 </w:t>
      </w:r>
      <w:r>
        <w:rPr>
          <w:rFonts w:hint="eastAsia" w:ascii="宋体" w:hAnsi="宋体" w:cs="宋体"/>
          <w:sz w:val="22"/>
          <w:szCs w:val="22"/>
        </w:rPr>
        <w:t>天，以甲方下达开工指令日起计算。除不可抗力外，如果乙方没有按照合同规定的时间完工，甲方应在不影响合同项下的其他补救措施的情况下，从合同价款中扣除误期赔偿费。因乙方原因造成工期延误，逾期竣工违约金的计算方法为：实际工期比合同工期（含签证顺延工期）每拖延一天，处以违约金人民币1000元，达到10天以上，甲方有权解除合同。因乙方原因造成工期延误，逾期竣工违约金的上限：最高不超过合同总价的3%。</w:t>
      </w:r>
    </w:p>
    <w:p>
      <w:pPr>
        <w:numPr>
          <w:ilvl w:val="0"/>
          <w:numId w:val="6"/>
        </w:numPr>
        <w:tabs>
          <w:tab w:val="left" w:pos="482"/>
          <w:tab w:val="left" w:pos="2183"/>
          <w:tab w:val="left" w:pos="3884"/>
          <w:tab w:val="left" w:pos="5585"/>
        </w:tabs>
        <w:spacing w:line="520" w:lineRule="exact"/>
        <w:ind w:firstLine="440" w:firstLineChars="200"/>
        <w:textAlignment w:val="baseline"/>
        <w:rPr>
          <w:rFonts w:ascii="宋体" w:hAnsi="宋体" w:cs="宋体"/>
          <w:sz w:val="22"/>
          <w:szCs w:val="22"/>
        </w:rPr>
      </w:pPr>
      <w:r>
        <w:rPr>
          <w:rFonts w:hint="eastAsia" w:ascii="宋体" w:hAnsi="宋体" w:cs="宋体"/>
          <w:sz w:val="22"/>
          <w:szCs w:val="22"/>
        </w:rPr>
        <w:t>施工要求 ：</w:t>
      </w:r>
    </w:p>
    <w:p>
      <w:pPr>
        <w:tabs>
          <w:tab w:val="left" w:pos="482"/>
          <w:tab w:val="left" w:pos="2183"/>
          <w:tab w:val="left" w:pos="3884"/>
          <w:tab w:val="left" w:pos="5585"/>
        </w:tabs>
        <w:spacing w:line="520" w:lineRule="exact"/>
        <w:ind w:firstLine="560"/>
        <w:textAlignment w:val="baseline"/>
        <w:rPr>
          <w:rFonts w:ascii="宋体" w:hAnsi="宋体" w:cs="宋体"/>
          <w:sz w:val="22"/>
          <w:szCs w:val="22"/>
        </w:rPr>
      </w:pPr>
      <w:r>
        <w:rPr>
          <w:rFonts w:hint="eastAsia" w:ascii="宋体" w:hAnsi="宋体" w:cs="宋体"/>
          <w:sz w:val="22"/>
          <w:szCs w:val="22"/>
        </w:rPr>
        <w:t>乙方应按照法律规定及合同约定组织完成工程施工，不得进行转包及违法分包。乙方应自觉提高安全生产意识，做好现场安全防护措施，确保施工安全，施工过程中一切安全责任及措施费用概由乙方负责。乙方在施工过程中不影响甲方正常运行，及时清理建筑垃圾，保证甲方环境整洁。项目负责人到位率要达到投标工期的80%以上，累计到位率达不到投标工期80%的，项目负责人每少一天到位，支付违约金1000元人民币。</w:t>
      </w:r>
    </w:p>
    <w:p>
      <w:pPr>
        <w:tabs>
          <w:tab w:val="left" w:pos="482"/>
          <w:tab w:val="left" w:pos="2183"/>
          <w:tab w:val="left" w:pos="3884"/>
          <w:tab w:val="left" w:pos="5585"/>
        </w:tabs>
        <w:spacing w:line="520" w:lineRule="exact"/>
        <w:ind w:firstLine="440" w:firstLineChars="200"/>
        <w:textAlignment w:val="baseline"/>
        <w:rPr>
          <w:rFonts w:ascii="宋体" w:hAnsi="宋体" w:cs="宋体"/>
          <w:sz w:val="22"/>
          <w:szCs w:val="22"/>
        </w:rPr>
      </w:pPr>
      <w:r>
        <w:rPr>
          <w:rFonts w:hint="eastAsia" w:ascii="宋体" w:hAnsi="宋体" w:cs="宋体"/>
          <w:sz w:val="22"/>
          <w:szCs w:val="22"/>
        </w:rPr>
        <w:t>八、质保条款：</w:t>
      </w:r>
    </w:p>
    <w:p>
      <w:pPr>
        <w:tabs>
          <w:tab w:val="left" w:pos="482"/>
          <w:tab w:val="left" w:pos="2183"/>
          <w:tab w:val="left" w:pos="3884"/>
          <w:tab w:val="left" w:pos="5585"/>
        </w:tabs>
        <w:spacing w:line="520" w:lineRule="exact"/>
        <w:ind w:firstLine="440" w:firstLineChars="200"/>
        <w:textAlignment w:val="baseline"/>
        <w:rPr>
          <w:rFonts w:ascii="宋体" w:hAnsi="宋体" w:cs="宋体"/>
          <w:sz w:val="22"/>
          <w:szCs w:val="22"/>
        </w:rPr>
      </w:pPr>
      <w:r>
        <w:rPr>
          <w:rFonts w:hint="eastAsia" w:ascii="宋体" w:hAnsi="宋体" w:cs="宋体"/>
          <w:sz w:val="22"/>
          <w:szCs w:val="22"/>
        </w:rPr>
        <w:t>质保期两年，在此期间非甲方自身原因造成的任何故障，乙方无偿负责维修。乙方在接到甲方维修通知后1天内维修，如有延迟或不能维修，甲方可以让第三方进行维修，并从质保金中扣除相关费用，若质保金不足以支付相关费用时，甲方有权向乙方追偿。质保期以完成竣工验收日起计算。</w:t>
      </w:r>
    </w:p>
    <w:p>
      <w:pPr>
        <w:tabs>
          <w:tab w:val="left" w:pos="482"/>
          <w:tab w:val="left" w:pos="2183"/>
          <w:tab w:val="left" w:pos="3884"/>
          <w:tab w:val="left" w:pos="5585"/>
        </w:tabs>
        <w:spacing w:line="520" w:lineRule="exact"/>
        <w:ind w:firstLine="440" w:firstLineChars="200"/>
        <w:textAlignment w:val="baseline"/>
        <w:rPr>
          <w:rFonts w:ascii="宋体" w:hAnsi="宋体" w:cs="宋体"/>
          <w:sz w:val="22"/>
          <w:szCs w:val="22"/>
        </w:rPr>
      </w:pPr>
      <w:r>
        <w:rPr>
          <w:rFonts w:hint="eastAsia" w:ascii="宋体" w:hAnsi="宋体" w:cs="宋体"/>
          <w:sz w:val="22"/>
          <w:szCs w:val="22"/>
        </w:rPr>
        <w:t>九、违约责任及解决争议方式：因本合同产生的一切纠纷，双方应友好协商解决。如协商不成，由甲方所在地人民法院管辖。</w:t>
      </w:r>
    </w:p>
    <w:p>
      <w:pPr>
        <w:tabs>
          <w:tab w:val="left" w:pos="482"/>
          <w:tab w:val="left" w:pos="2183"/>
          <w:tab w:val="left" w:pos="3884"/>
          <w:tab w:val="left" w:pos="5585"/>
        </w:tabs>
        <w:spacing w:line="520" w:lineRule="exact"/>
        <w:ind w:firstLine="440" w:firstLineChars="200"/>
        <w:textAlignment w:val="baseline"/>
        <w:rPr>
          <w:rFonts w:ascii="宋体" w:hAnsi="宋体" w:cs="宋体"/>
          <w:sz w:val="22"/>
          <w:szCs w:val="22"/>
        </w:rPr>
      </w:pPr>
      <w:r>
        <w:rPr>
          <w:rFonts w:hint="eastAsia" w:ascii="宋体" w:hAnsi="宋体" w:cs="宋体"/>
          <w:sz w:val="22"/>
          <w:szCs w:val="22"/>
        </w:rPr>
        <w:t>十、其他未尽事宜，以招投标文件及国家建筑工程施工合同通用条款为准。</w:t>
      </w:r>
    </w:p>
    <w:p>
      <w:pPr>
        <w:tabs>
          <w:tab w:val="left" w:pos="482"/>
          <w:tab w:val="left" w:pos="2183"/>
          <w:tab w:val="left" w:pos="3884"/>
          <w:tab w:val="left" w:pos="5585"/>
        </w:tabs>
        <w:spacing w:line="520" w:lineRule="exact"/>
        <w:ind w:firstLine="440" w:firstLineChars="200"/>
        <w:textAlignment w:val="baseline"/>
        <w:rPr>
          <w:rFonts w:ascii="宋体" w:hAnsi="宋体" w:cs="宋体"/>
          <w:sz w:val="22"/>
          <w:szCs w:val="22"/>
        </w:rPr>
      </w:pPr>
      <w:r>
        <w:rPr>
          <w:rFonts w:hint="eastAsia" w:ascii="宋体" w:hAnsi="宋体" w:cs="宋体"/>
          <w:sz w:val="22"/>
          <w:szCs w:val="22"/>
        </w:rPr>
        <w:t>十一、本协议共</w:t>
      </w:r>
      <w:r>
        <w:rPr>
          <w:rFonts w:hint="eastAsia" w:ascii="宋体" w:hAnsi="宋体" w:cs="宋体"/>
          <w:sz w:val="22"/>
          <w:szCs w:val="22"/>
          <w:u w:val="single"/>
        </w:rPr>
        <w:t xml:space="preserve"> 2 </w:t>
      </w:r>
      <w:r>
        <w:rPr>
          <w:rFonts w:hint="eastAsia" w:ascii="宋体" w:hAnsi="宋体" w:cs="宋体"/>
          <w:sz w:val="22"/>
          <w:szCs w:val="22"/>
        </w:rPr>
        <w:t>页，一式肆份，甲方执叁份，乙方执壹份，自双方签字盖章之日起生效。</w:t>
      </w:r>
    </w:p>
    <w:p>
      <w:pPr>
        <w:tabs>
          <w:tab w:val="left" w:pos="482"/>
          <w:tab w:val="left" w:pos="2183"/>
          <w:tab w:val="left" w:pos="3884"/>
          <w:tab w:val="left" w:pos="5585"/>
        </w:tabs>
        <w:spacing w:line="520" w:lineRule="exact"/>
        <w:ind w:firstLine="440" w:firstLineChars="200"/>
        <w:textAlignment w:val="baseline"/>
        <w:rPr>
          <w:rFonts w:ascii="宋体" w:hAnsi="宋体" w:cs="宋体"/>
          <w:sz w:val="22"/>
          <w:szCs w:val="22"/>
        </w:rPr>
      </w:pPr>
    </w:p>
    <w:p>
      <w:pPr>
        <w:tabs>
          <w:tab w:val="left" w:pos="482"/>
          <w:tab w:val="left" w:pos="2183"/>
          <w:tab w:val="left" w:pos="3884"/>
          <w:tab w:val="left" w:pos="5585"/>
        </w:tabs>
        <w:spacing w:line="560" w:lineRule="exact"/>
        <w:textAlignment w:val="baseline"/>
        <w:rPr>
          <w:rFonts w:ascii="宋体" w:hAnsi="宋体" w:cs="宋体"/>
          <w:sz w:val="22"/>
          <w:szCs w:val="22"/>
        </w:rPr>
      </w:pPr>
      <w:r>
        <w:rPr>
          <w:rFonts w:hint="eastAsia" w:ascii="宋体" w:hAnsi="宋体" w:cs="宋体"/>
          <w:sz w:val="22"/>
          <w:szCs w:val="22"/>
        </w:rPr>
        <w:t>甲　方（签字盖章）：　　　　　　　　</w:t>
      </w:r>
    </w:p>
    <w:p>
      <w:pPr>
        <w:tabs>
          <w:tab w:val="left" w:pos="482"/>
          <w:tab w:val="left" w:pos="2183"/>
          <w:tab w:val="left" w:pos="3884"/>
          <w:tab w:val="left" w:pos="5585"/>
        </w:tabs>
        <w:spacing w:line="560" w:lineRule="exact"/>
        <w:textAlignment w:val="baseline"/>
        <w:rPr>
          <w:rFonts w:ascii="宋体" w:hAnsi="宋体" w:cs="宋体"/>
          <w:sz w:val="22"/>
          <w:szCs w:val="22"/>
        </w:rPr>
      </w:pPr>
      <w:r>
        <w:rPr>
          <w:rFonts w:hint="eastAsia" w:ascii="宋体" w:hAnsi="宋体" w:cs="宋体"/>
          <w:sz w:val="22"/>
          <w:szCs w:val="22"/>
        </w:rPr>
        <w:t>地址：温州市六虹桥蛟尾路9号</w:t>
      </w:r>
    </w:p>
    <w:p>
      <w:pPr>
        <w:tabs>
          <w:tab w:val="left" w:pos="482"/>
          <w:tab w:val="left" w:pos="2183"/>
          <w:tab w:val="left" w:pos="3884"/>
          <w:tab w:val="left" w:pos="5585"/>
        </w:tabs>
        <w:spacing w:line="560" w:lineRule="exact"/>
        <w:textAlignment w:val="baseline"/>
        <w:rPr>
          <w:rFonts w:ascii="宋体" w:hAnsi="宋体" w:cs="宋体"/>
          <w:sz w:val="22"/>
          <w:szCs w:val="22"/>
        </w:rPr>
      </w:pPr>
      <w:r>
        <w:rPr>
          <w:rFonts w:hint="eastAsia" w:ascii="宋体" w:hAnsi="宋体" w:cs="宋体"/>
          <w:sz w:val="22"/>
          <w:szCs w:val="22"/>
        </w:rPr>
        <w:t>税号：12330300470525522R</w:t>
      </w:r>
    </w:p>
    <w:p>
      <w:pPr>
        <w:tabs>
          <w:tab w:val="left" w:pos="482"/>
          <w:tab w:val="left" w:pos="2183"/>
          <w:tab w:val="left" w:pos="3884"/>
          <w:tab w:val="left" w:pos="5585"/>
        </w:tabs>
        <w:spacing w:line="560" w:lineRule="exact"/>
        <w:textAlignment w:val="baseline"/>
        <w:rPr>
          <w:rFonts w:ascii="宋体" w:hAnsi="宋体" w:cs="宋体"/>
          <w:sz w:val="22"/>
          <w:szCs w:val="22"/>
        </w:rPr>
      </w:pPr>
      <w:r>
        <w:rPr>
          <w:rFonts w:hint="eastAsia" w:ascii="宋体" w:hAnsi="宋体" w:cs="宋体"/>
          <w:sz w:val="22"/>
          <w:szCs w:val="22"/>
        </w:rPr>
        <w:t>法定代表人：</w:t>
      </w:r>
    </w:p>
    <w:p>
      <w:pPr>
        <w:tabs>
          <w:tab w:val="left" w:pos="482"/>
          <w:tab w:val="left" w:pos="2183"/>
          <w:tab w:val="left" w:pos="3884"/>
          <w:tab w:val="left" w:pos="5585"/>
        </w:tabs>
        <w:spacing w:line="560" w:lineRule="exact"/>
        <w:textAlignment w:val="baseline"/>
        <w:rPr>
          <w:rFonts w:ascii="宋体" w:hAnsi="宋体" w:cs="宋体"/>
          <w:sz w:val="22"/>
          <w:szCs w:val="22"/>
        </w:rPr>
      </w:pPr>
      <w:r>
        <w:rPr>
          <w:rFonts w:hint="eastAsia" w:ascii="宋体" w:hAnsi="宋体" w:cs="宋体"/>
          <w:sz w:val="22"/>
          <w:szCs w:val="22"/>
        </w:rPr>
        <w:t>签约人：</w:t>
      </w:r>
    </w:p>
    <w:p>
      <w:pPr>
        <w:tabs>
          <w:tab w:val="left" w:pos="482"/>
          <w:tab w:val="left" w:pos="2183"/>
          <w:tab w:val="left" w:pos="3884"/>
          <w:tab w:val="left" w:pos="5585"/>
        </w:tabs>
        <w:spacing w:line="560" w:lineRule="exact"/>
        <w:textAlignment w:val="baseline"/>
        <w:rPr>
          <w:rFonts w:ascii="宋体" w:hAnsi="宋体" w:cs="宋体"/>
          <w:sz w:val="22"/>
          <w:szCs w:val="22"/>
        </w:rPr>
      </w:pPr>
    </w:p>
    <w:p>
      <w:pPr>
        <w:tabs>
          <w:tab w:val="left" w:pos="482"/>
          <w:tab w:val="left" w:pos="2183"/>
          <w:tab w:val="left" w:pos="3884"/>
          <w:tab w:val="left" w:pos="5585"/>
        </w:tabs>
        <w:spacing w:line="560" w:lineRule="exact"/>
        <w:textAlignment w:val="baseline"/>
        <w:rPr>
          <w:rFonts w:ascii="宋体" w:hAnsi="宋体" w:cs="宋体"/>
          <w:sz w:val="22"/>
          <w:szCs w:val="22"/>
        </w:rPr>
      </w:pPr>
      <w:r>
        <w:rPr>
          <w:rFonts w:hint="eastAsia" w:ascii="宋体" w:hAnsi="宋体" w:cs="宋体"/>
          <w:sz w:val="22"/>
          <w:szCs w:val="22"/>
        </w:rPr>
        <w:t>乙　方（签字盖章）：　　　　　　　　</w:t>
      </w:r>
    </w:p>
    <w:p>
      <w:pPr>
        <w:tabs>
          <w:tab w:val="left" w:pos="482"/>
          <w:tab w:val="left" w:pos="2183"/>
          <w:tab w:val="left" w:pos="3884"/>
          <w:tab w:val="left" w:pos="5585"/>
        </w:tabs>
        <w:spacing w:line="560" w:lineRule="exact"/>
        <w:textAlignment w:val="baseline"/>
        <w:rPr>
          <w:rFonts w:ascii="宋体" w:hAnsi="宋体" w:cs="宋体"/>
          <w:sz w:val="22"/>
          <w:szCs w:val="22"/>
        </w:rPr>
      </w:pPr>
      <w:r>
        <w:rPr>
          <w:rFonts w:hint="eastAsia" w:ascii="宋体" w:hAnsi="宋体" w:cs="宋体"/>
          <w:sz w:val="22"/>
          <w:szCs w:val="22"/>
        </w:rPr>
        <w:t>地址：</w:t>
      </w:r>
    </w:p>
    <w:p>
      <w:pPr>
        <w:tabs>
          <w:tab w:val="left" w:pos="482"/>
          <w:tab w:val="left" w:pos="2183"/>
          <w:tab w:val="left" w:pos="3884"/>
          <w:tab w:val="left" w:pos="5585"/>
        </w:tabs>
        <w:spacing w:line="560" w:lineRule="exact"/>
        <w:textAlignment w:val="baseline"/>
        <w:rPr>
          <w:rFonts w:ascii="宋体" w:hAnsi="宋体" w:cs="宋体"/>
          <w:sz w:val="22"/>
          <w:szCs w:val="22"/>
        </w:rPr>
      </w:pPr>
      <w:r>
        <w:rPr>
          <w:rFonts w:hint="eastAsia" w:ascii="宋体" w:hAnsi="宋体" w:cs="宋体"/>
          <w:sz w:val="22"/>
          <w:szCs w:val="22"/>
        </w:rPr>
        <w:t>税号：</w:t>
      </w:r>
    </w:p>
    <w:p>
      <w:pPr>
        <w:tabs>
          <w:tab w:val="left" w:pos="482"/>
          <w:tab w:val="left" w:pos="2183"/>
          <w:tab w:val="left" w:pos="3884"/>
          <w:tab w:val="left" w:pos="5585"/>
        </w:tabs>
        <w:spacing w:line="560" w:lineRule="exact"/>
        <w:textAlignment w:val="baseline"/>
        <w:rPr>
          <w:rFonts w:ascii="宋体" w:hAnsi="宋体" w:cs="宋体"/>
          <w:sz w:val="22"/>
          <w:szCs w:val="22"/>
        </w:rPr>
      </w:pPr>
      <w:r>
        <w:rPr>
          <w:rFonts w:hint="eastAsia" w:ascii="宋体" w:hAnsi="宋体" w:cs="宋体"/>
          <w:sz w:val="22"/>
          <w:szCs w:val="22"/>
        </w:rPr>
        <w:t>法定代表人：</w:t>
      </w:r>
    </w:p>
    <w:p>
      <w:pPr>
        <w:tabs>
          <w:tab w:val="left" w:pos="482"/>
          <w:tab w:val="left" w:pos="2183"/>
          <w:tab w:val="left" w:pos="3884"/>
          <w:tab w:val="left" w:pos="5585"/>
        </w:tabs>
        <w:spacing w:line="560" w:lineRule="exact"/>
        <w:textAlignment w:val="baseline"/>
        <w:rPr>
          <w:rFonts w:ascii="宋体" w:hAnsi="宋体" w:cs="宋体"/>
          <w:sz w:val="22"/>
          <w:szCs w:val="22"/>
        </w:rPr>
      </w:pPr>
      <w:r>
        <w:rPr>
          <w:rFonts w:hint="eastAsia" w:ascii="宋体" w:hAnsi="宋体" w:cs="宋体"/>
          <w:sz w:val="22"/>
          <w:szCs w:val="22"/>
        </w:rPr>
        <w:t xml:space="preserve">签约人：  </w:t>
      </w:r>
    </w:p>
    <w:p>
      <w:pPr>
        <w:tabs>
          <w:tab w:val="left" w:pos="482"/>
          <w:tab w:val="left" w:pos="2183"/>
          <w:tab w:val="left" w:pos="3884"/>
          <w:tab w:val="left" w:pos="5585"/>
        </w:tabs>
        <w:spacing w:line="560" w:lineRule="exact"/>
        <w:textAlignment w:val="baseline"/>
        <w:rPr>
          <w:rFonts w:ascii="宋体" w:hAnsi="宋体" w:cs="宋体"/>
          <w:sz w:val="22"/>
          <w:szCs w:val="22"/>
        </w:rPr>
      </w:pPr>
    </w:p>
    <w:p>
      <w:pPr>
        <w:tabs>
          <w:tab w:val="left" w:pos="482"/>
          <w:tab w:val="left" w:pos="2183"/>
          <w:tab w:val="left" w:pos="3884"/>
          <w:tab w:val="left" w:pos="5585"/>
        </w:tabs>
        <w:rPr>
          <w:rFonts w:asciiTheme="minorEastAsia" w:hAnsiTheme="minorEastAsia" w:eastAsiaTheme="minorEastAsia"/>
          <w:szCs w:val="21"/>
        </w:rPr>
      </w:pPr>
      <w:r>
        <w:rPr>
          <w:rFonts w:hint="eastAsia" w:ascii="宋体" w:hAnsi="宋体" w:cs="宋体"/>
          <w:sz w:val="22"/>
          <w:szCs w:val="22"/>
        </w:rPr>
        <w:t>签订日期：  　年    月    日</w:t>
      </w:r>
      <w:bookmarkEnd w:id="241"/>
    </w:p>
    <w:p>
      <w:pPr>
        <w:widowControl/>
        <w:jc w:val="left"/>
        <w:rPr>
          <w:rFonts w:ascii="黑体" w:hAnsi="黑体" w:eastAsia="黑体"/>
          <w:color w:val="000000"/>
          <w:kern w:val="44"/>
          <w:sz w:val="32"/>
          <w:szCs w:val="44"/>
        </w:rPr>
      </w:pPr>
      <w:bookmarkStart w:id="242" w:name="_Toc144974834"/>
      <w:bookmarkStart w:id="243" w:name="_Toc152045772"/>
      <w:bookmarkStart w:id="244" w:name="_Toc152042554"/>
      <w:bookmarkStart w:id="245" w:name="_Toc361338297"/>
      <w:r>
        <w:rPr>
          <w:rFonts w:ascii="黑体" w:hAnsi="黑体" w:eastAsia="黑体"/>
          <w:b/>
          <w:bCs/>
          <w:color w:val="000000"/>
          <w:sz w:val="32"/>
        </w:rPr>
        <w:br w:type="page"/>
      </w:r>
    </w:p>
    <w:p>
      <w:pPr>
        <w:pStyle w:val="2"/>
        <w:spacing w:before="120" w:after="120" w:line="400" w:lineRule="exact"/>
        <w:jc w:val="center"/>
        <w:rPr>
          <w:rFonts w:ascii="黑体" w:hAnsi="黑体" w:eastAsia="黑体"/>
          <w:b w:val="0"/>
          <w:bCs w:val="0"/>
          <w:color w:val="000000"/>
          <w:sz w:val="32"/>
        </w:rPr>
      </w:pPr>
      <w:r>
        <w:rPr>
          <w:rFonts w:hint="eastAsia" w:ascii="黑体" w:hAnsi="黑体" w:eastAsia="黑体"/>
          <w:b w:val="0"/>
          <w:bCs w:val="0"/>
          <w:color w:val="000000"/>
          <w:sz w:val="32"/>
        </w:rPr>
        <w:t xml:space="preserve">第五章  </w:t>
      </w:r>
      <w:bookmarkEnd w:id="242"/>
      <w:bookmarkEnd w:id="243"/>
      <w:bookmarkEnd w:id="244"/>
      <w:r>
        <w:rPr>
          <w:rFonts w:hint="eastAsia" w:ascii="黑体" w:hAnsi="黑体" w:eastAsia="黑体"/>
          <w:b w:val="0"/>
          <w:bCs w:val="0"/>
          <w:color w:val="000000"/>
          <w:sz w:val="32"/>
        </w:rPr>
        <w:t>招标内容</w:t>
      </w:r>
      <w:bookmarkEnd w:id="245"/>
    </w:p>
    <w:p>
      <w:pPr>
        <w:tabs>
          <w:tab w:val="left" w:pos="482"/>
          <w:tab w:val="left" w:pos="2183"/>
          <w:tab w:val="left" w:pos="3884"/>
          <w:tab w:val="left" w:pos="5585"/>
        </w:tabs>
        <w:spacing w:line="400" w:lineRule="exact"/>
        <w:jc w:val="left"/>
        <w:rPr>
          <w:rFonts w:ascii="宋体"/>
          <w:b/>
          <w:sz w:val="28"/>
          <w:szCs w:val="28"/>
        </w:rPr>
      </w:pPr>
      <w:bookmarkStart w:id="246" w:name="_Toc144974837"/>
      <w:bookmarkStart w:id="247" w:name="_Toc152042557"/>
      <w:bookmarkStart w:id="248" w:name="_Toc152045775"/>
      <w:r>
        <w:rPr>
          <w:rFonts w:hint="eastAsia" w:ascii="宋体"/>
          <w:b/>
          <w:sz w:val="28"/>
          <w:szCs w:val="28"/>
        </w:rPr>
        <w:t>一、总说明</w:t>
      </w:r>
    </w:p>
    <w:p>
      <w:pPr>
        <w:tabs>
          <w:tab w:val="left" w:pos="720"/>
        </w:tabs>
        <w:spacing w:line="380" w:lineRule="exact"/>
        <w:ind w:left="525" w:hanging="525" w:hangingChars="250"/>
        <w:rPr>
          <w:rFonts w:ascii="宋体" w:hAnsi="宋体" w:cs="宋体"/>
          <w:szCs w:val="21"/>
        </w:rPr>
      </w:pPr>
      <w:r>
        <w:rPr>
          <w:rFonts w:hint="eastAsia" w:ascii="宋体" w:hAnsi="宋体" w:cs="宋体"/>
          <w:szCs w:val="21"/>
        </w:rPr>
        <w:t>1.   本技术规格书只是货物及安装的一些原则性规定，并不是详尽的要求，投标人有责任对该货物设计符合技术规格书要求负责。</w:t>
      </w:r>
    </w:p>
    <w:p>
      <w:pPr>
        <w:tabs>
          <w:tab w:val="left" w:pos="720"/>
        </w:tabs>
        <w:spacing w:line="380" w:lineRule="exact"/>
        <w:ind w:left="525" w:hanging="525" w:hangingChars="250"/>
        <w:rPr>
          <w:rFonts w:ascii="宋体" w:hAnsi="宋体" w:cs="宋体"/>
          <w:szCs w:val="21"/>
        </w:rPr>
      </w:pPr>
      <w:r>
        <w:rPr>
          <w:rFonts w:hint="eastAsia" w:ascii="宋体" w:hAnsi="宋体" w:cs="宋体"/>
          <w:szCs w:val="21"/>
        </w:rPr>
        <w:t>2.   招标的货物所涉及的产品标准、规范，验收标准、规范，应符合国家有关条例及规范，如有新的标准应采纳新标准，如是国外相应标准应征得招标人认可。</w:t>
      </w:r>
    </w:p>
    <w:p>
      <w:pPr>
        <w:tabs>
          <w:tab w:val="left" w:pos="720"/>
        </w:tabs>
        <w:spacing w:line="380" w:lineRule="exact"/>
        <w:ind w:left="525" w:hanging="525" w:hangingChars="250"/>
        <w:rPr>
          <w:rFonts w:ascii="宋体" w:hAnsi="宋体" w:cs="宋体"/>
          <w:szCs w:val="21"/>
        </w:rPr>
      </w:pPr>
      <w:r>
        <w:rPr>
          <w:rFonts w:hint="eastAsia" w:ascii="宋体" w:hAnsi="宋体" w:cs="宋体"/>
          <w:szCs w:val="21"/>
        </w:rPr>
        <w:t>3.   投标人应根据招标文件所提出的技术规格、参数、数量和服务要求，综合考虑货物的适应性，选择具有最佳性能价格比的货物前来投标。希望投标人以精良的货物、优良的服务和优惠的价格，充分显示自身的竞争实力。</w:t>
      </w:r>
    </w:p>
    <w:p>
      <w:pPr>
        <w:tabs>
          <w:tab w:val="left" w:pos="720"/>
        </w:tabs>
        <w:spacing w:line="380" w:lineRule="exact"/>
        <w:ind w:left="525" w:hanging="525" w:hangingChars="250"/>
        <w:rPr>
          <w:rFonts w:ascii="宋体" w:hAnsi="宋体" w:cs="宋体"/>
          <w:szCs w:val="21"/>
          <w:u w:val="single"/>
        </w:rPr>
      </w:pPr>
      <w:r>
        <w:rPr>
          <w:rFonts w:hint="eastAsia" w:ascii="宋体" w:hAnsi="宋体" w:cs="宋体"/>
          <w:bCs/>
          <w:szCs w:val="21"/>
        </w:rPr>
        <w:t xml:space="preserve">4.   </w:t>
      </w:r>
      <w:r>
        <w:rPr>
          <w:rFonts w:hint="eastAsia" w:ascii="宋体" w:hAnsi="宋体" w:cs="宋体"/>
          <w:bCs/>
          <w:szCs w:val="21"/>
          <w:u w:val="single"/>
        </w:rPr>
        <w:t>▲</w:t>
      </w:r>
      <w:r>
        <w:rPr>
          <w:rFonts w:hint="eastAsia" w:ascii="宋体" w:hAnsi="宋体" w:cs="宋体"/>
          <w:szCs w:val="21"/>
          <w:u w:val="single"/>
        </w:rPr>
        <w:t>本次招标项目为温州市中医院六虹桥院区综合楼病房玻璃门及门禁安装工程，本项目只设一个标段，投标人必须对全部内容进行报价。</w:t>
      </w:r>
    </w:p>
    <w:p>
      <w:pPr>
        <w:tabs>
          <w:tab w:val="left" w:pos="720"/>
        </w:tabs>
        <w:spacing w:line="380" w:lineRule="exact"/>
        <w:ind w:left="525" w:hanging="525" w:hangingChars="250"/>
        <w:rPr>
          <w:rFonts w:ascii="宋体" w:hAnsi="宋体" w:cs="宋体"/>
          <w:szCs w:val="21"/>
        </w:rPr>
      </w:pPr>
      <w:r>
        <w:rPr>
          <w:rFonts w:hint="eastAsia" w:ascii="宋体" w:hAnsi="宋体" w:cs="宋体"/>
          <w:szCs w:val="21"/>
        </w:rPr>
        <w:t>5.   投标人报价产品及主要部件的名称、品牌、型号、技术参数、性能、数量、单价、合价、厂商、产地、质保期等应在投标文件中明确，对招标文件的技术条款及要求应予以实质性响应，如有偏离应在偏离表中注明。</w:t>
      </w:r>
    </w:p>
    <w:p>
      <w:pPr>
        <w:tabs>
          <w:tab w:val="left" w:pos="482"/>
          <w:tab w:val="left" w:pos="2183"/>
          <w:tab w:val="left" w:pos="3884"/>
          <w:tab w:val="left" w:pos="5585"/>
        </w:tabs>
        <w:snapToGrid w:val="0"/>
        <w:spacing w:line="380" w:lineRule="exact"/>
        <w:ind w:left="525" w:hanging="525" w:hangingChars="250"/>
        <w:rPr>
          <w:rFonts w:ascii="宋体" w:hAnsi="宋体" w:cs="宋体"/>
          <w:szCs w:val="21"/>
        </w:rPr>
      </w:pPr>
      <w:r>
        <w:rPr>
          <w:rFonts w:hint="eastAsia" w:ascii="宋体" w:hAnsi="宋体" w:cs="宋体"/>
          <w:szCs w:val="21"/>
        </w:rPr>
        <w:t>6.   本项目采用总价包干方式报价。投标供应商可以自行到招标人处现场探勘，了解安装地点、环境尺寸及招标人需求，本项目涉及的安装材料、安装附件、尺寸修改均采用包干方式计入投标总价，中标后不予调整；招标人清单中的货物如有遗漏必须的设备，请投标人自行配齐，成交后招标人将不予调整。</w:t>
      </w:r>
    </w:p>
    <w:p>
      <w:pPr>
        <w:numPr>
          <w:ilvl w:val="0"/>
          <w:numId w:val="7"/>
        </w:numPr>
        <w:tabs>
          <w:tab w:val="left" w:pos="482"/>
          <w:tab w:val="left" w:pos="2183"/>
          <w:tab w:val="left" w:pos="3884"/>
          <w:tab w:val="left" w:pos="5585"/>
        </w:tabs>
        <w:spacing w:line="400" w:lineRule="exact"/>
        <w:jc w:val="left"/>
        <w:rPr>
          <w:rFonts w:ascii="宋体"/>
          <w:b/>
          <w:sz w:val="28"/>
          <w:szCs w:val="28"/>
        </w:rPr>
      </w:pPr>
      <w:r>
        <w:rPr>
          <w:rFonts w:hint="eastAsia" w:ascii="宋体"/>
          <w:b/>
          <w:sz w:val="28"/>
          <w:szCs w:val="28"/>
        </w:rPr>
        <w:t>招标内容及技术要求</w:t>
      </w:r>
    </w:p>
    <w:p>
      <w:pPr>
        <w:numPr>
          <w:ilvl w:val="0"/>
          <w:numId w:val="8"/>
        </w:numPr>
        <w:tabs>
          <w:tab w:val="left" w:pos="482"/>
          <w:tab w:val="left" w:pos="2183"/>
          <w:tab w:val="left" w:pos="3884"/>
          <w:tab w:val="left" w:pos="5585"/>
        </w:tabs>
        <w:snapToGrid w:val="0"/>
        <w:spacing w:line="380" w:lineRule="exact"/>
        <w:ind w:left="525" w:hanging="525" w:hangingChars="250"/>
        <w:rPr>
          <w:rFonts w:hint="eastAsia" w:ascii="宋体" w:hAnsi="宋体" w:cs="宋体"/>
          <w:b/>
          <w:bCs/>
          <w:szCs w:val="21"/>
        </w:rPr>
      </w:pPr>
      <w:r>
        <w:rPr>
          <w:rFonts w:hint="eastAsia" w:ascii="宋体" w:hAnsi="宋体" w:cs="宋体"/>
          <w:szCs w:val="21"/>
        </w:rPr>
        <w:t xml:space="preserve"> </w:t>
      </w:r>
      <w:r>
        <w:rPr>
          <w:rFonts w:hint="eastAsia" w:ascii="宋体" w:hAnsi="宋体" w:cs="宋体"/>
          <w:b/>
          <w:bCs/>
          <w:szCs w:val="21"/>
        </w:rPr>
        <w:t>图纸：详见图纸。</w:t>
      </w:r>
    </w:p>
    <w:p>
      <w:pPr>
        <w:numPr>
          <w:numId w:val="0"/>
        </w:numPr>
        <w:tabs>
          <w:tab w:val="left" w:pos="482"/>
          <w:tab w:val="left" w:pos="2183"/>
          <w:tab w:val="left" w:pos="3884"/>
          <w:tab w:val="left" w:pos="5585"/>
        </w:tabs>
        <w:snapToGrid w:val="0"/>
        <w:spacing w:line="240" w:lineRule="auto"/>
        <w:ind w:leftChars="-250"/>
        <w:jc w:val="center"/>
        <w:rPr>
          <w:rFonts w:hint="eastAsia" w:ascii="宋体" w:hAnsi="宋体" w:eastAsia="宋体" w:cs="宋体"/>
          <w:b/>
          <w:bCs/>
          <w:szCs w:val="21"/>
          <w:lang w:eastAsia="zh-CN"/>
        </w:rPr>
      </w:pPr>
      <w:r>
        <w:rPr>
          <w:rFonts w:hint="eastAsia" w:ascii="宋体" w:hAnsi="宋体" w:eastAsia="宋体" w:cs="宋体"/>
          <w:b/>
          <w:bCs/>
          <w:szCs w:val="21"/>
          <w:lang w:eastAsia="zh-CN"/>
        </w:rPr>
        <w:drawing>
          <wp:inline distT="0" distB="0" distL="114300" distR="114300">
            <wp:extent cx="5588000" cy="3949700"/>
            <wp:effectExtent l="0" t="0" r="12700" b="12700"/>
            <wp:docPr id="1" name="图片 1" descr="温州中医院门型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温州中医院门型图"/>
                    <pic:cNvPicPr>
                      <a:picLocks noChangeAspect="1"/>
                    </pic:cNvPicPr>
                  </pic:nvPicPr>
                  <pic:blipFill>
                    <a:blip r:embed="rId9"/>
                    <a:stretch>
                      <a:fillRect/>
                    </a:stretch>
                  </pic:blipFill>
                  <pic:spPr>
                    <a:xfrm>
                      <a:off x="0" y="0"/>
                      <a:ext cx="5588000" cy="3949700"/>
                    </a:xfrm>
                    <a:prstGeom prst="rect">
                      <a:avLst/>
                    </a:prstGeom>
                  </pic:spPr>
                </pic:pic>
              </a:graphicData>
            </a:graphic>
          </wp:inline>
        </w:drawing>
      </w:r>
    </w:p>
    <w:p>
      <w:pPr>
        <w:widowControl w:val="0"/>
        <w:numPr>
          <w:numId w:val="0"/>
        </w:numPr>
        <w:tabs>
          <w:tab w:val="left" w:pos="482"/>
          <w:tab w:val="left" w:pos="2183"/>
          <w:tab w:val="left" w:pos="3884"/>
          <w:tab w:val="left" w:pos="5585"/>
        </w:tabs>
        <w:snapToGrid w:val="0"/>
        <w:spacing w:line="380" w:lineRule="exact"/>
        <w:jc w:val="both"/>
        <w:rPr>
          <w:rFonts w:hint="eastAsia" w:ascii="宋体" w:hAnsi="宋体" w:cs="宋体"/>
          <w:b/>
          <w:bCs/>
          <w:szCs w:val="21"/>
        </w:rPr>
      </w:pPr>
      <w:bookmarkStart w:id="266" w:name="_GoBack"/>
      <w:bookmarkEnd w:id="266"/>
    </w:p>
    <w:p>
      <w:pPr>
        <w:widowControl w:val="0"/>
        <w:numPr>
          <w:numId w:val="0"/>
        </w:numPr>
        <w:tabs>
          <w:tab w:val="left" w:pos="482"/>
          <w:tab w:val="left" w:pos="2183"/>
          <w:tab w:val="left" w:pos="3884"/>
          <w:tab w:val="left" w:pos="5585"/>
        </w:tabs>
        <w:snapToGrid w:val="0"/>
        <w:spacing w:line="380" w:lineRule="exact"/>
        <w:jc w:val="both"/>
        <w:rPr>
          <w:rFonts w:hint="eastAsia" w:ascii="宋体" w:hAnsi="宋体" w:cs="宋体"/>
          <w:b/>
          <w:bCs/>
          <w:szCs w:val="21"/>
        </w:rPr>
      </w:pPr>
    </w:p>
    <w:p>
      <w:pPr>
        <w:tabs>
          <w:tab w:val="left" w:pos="482"/>
          <w:tab w:val="left" w:pos="2183"/>
          <w:tab w:val="left" w:pos="3884"/>
          <w:tab w:val="left" w:pos="5585"/>
        </w:tabs>
        <w:spacing w:line="400" w:lineRule="exact"/>
        <w:jc w:val="left"/>
        <w:rPr>
          <w:rFonts w:ascii="宋体" w:hAnsi="宋体" w:cs="宋体"/>
          <w:b/>
          <w:bCs/>
          <w:szCs w:val="21"/>
        </w:rPr>
      </w:pPr>
      <w:r>
        <w:rPr>
          <w:rFonts w:hint="eastAsia" w:ascii="宋体" w:hAnsi="宋体" w:cs="宋体"/>
          <w:b/>
          <w:bCs/>
          <w:szCs w:val="21"/>
        </w:rPr>
        <w:t>2．  门体材料：10mm钢化玻璃；</w:t>
      </w:r>
    </w:p>
    <w:p>
      <w:pPr>
        <w:tabs>
          <w:tab w:val="left" w:pos="482"/>
          <w:tab w:val="left" w:pos="2183"/>
          <w:tab w:val="left" w:pos="3884"/>
          <w:tab w:val="left" w:pos="5585"/>
        </w:tabs>
        <w:snapToGrid w:val="0"/>
        <w:spacing w:line="380" w:lineRule="exact"/>
        <w:ind w:left="527" w:hanging="527" w:hangingChars="250"/>
        <w:rPr>
          <w:rFonts w:ascii="宋体" w:hAnsi="宋体" w:cs="宋体"/>
          <w:b/>
          <w:bCs/>
          <w:szCs w:val="21"/>
        </w:rPr>
      </w:pPr>
      <w:r>
        <w:rPr>
          <w:rFonts w:hint="eastAsia" w:ascii="宋体" w:hAnsi="宋体" w:cs="宋体"/>
          <w:b/>
          <w:bCs/>
          <w:szCs w:val="21"/>
        </w:rPr>
        <w:t>3．  门体包边材料：铝合金边框外包304拉丝不锈钢厚1.0mm；</w:t>
      </w:r>
    </w:p>
    <w:p>
      <w:pPr>
        <w:tabs>
          <w:tab w:val="left" w:pos="482"/>
          <w:tab w:val="left" w:pos="2183"/>
          <w:tab w:val="left" w:pos="3884"/>
          <w:tab w:val="left" w:pos="5585"/>
        </w:tabs>
        <w:snapToGrid w:val="0"/>
        <w:spacing w:line="380" w:lineRule="exact"/>
        <w:ind w:left="527" w:hanging="527" w:hangingChars="250"/>
        <w:rPr>
          <w:rFonts w:ascii="宋体" w:hAnsi="宋体" w:cs="宋体"/>
          <w:b/>
          <w:bCs/>
          <w:szCs w:val="21"/>
        </w:rPr>
      </w:pPr>
      <w:r>
        <w:rPr>
          <w:rFonts w:hint="eastAsia" w:ascii="宋体" w:hAnsi="宋体" w:cs="宋体"/>
          <w:b/>
          <w:bCs/>
          <w:szCs w:val="21"/>
        </w:rPr>
        <w:t>4.   五金合页:采用知名品牌旗杆合页、闭门器；</w:t>
      </w:r>
    </w:p>
    <w:p>
      <w:pPr>
        <w:tabs>
          <w:tab w:val="left" w:pos="482"/>
          <w:tab w:val="left" w:pos="2183"/>
          <w:tab w:val="left" w:pos="3884"/>
          <w:tab w:val="left" w:pos="5585"/>
        </w:tabs>
        <w:snapToGrid w:val="0"/>
        <w:spacing w:line="380" w:lineRule="exact"/>
        <w:ind w:left="527" w:hanging="527" w:hangingChars="250"/>
        <w:rPr>
          <w:rFonts w:ascii="宋体" w:hAnsi="宋体" w:cs="宋体"/>
          <w:b/>
          <w:bCs/>
          <w:szCs w:val="21"/>
        </w:rPr>
      </w:pPr>
      <w:r>
        <w:rPr>
          <w:rFonts w:hint="eastAsia" w:ascii="宋体" w:hAnsi="宋体" w:cs="宋体"/>
          <w:b/>
          <w:bCs/>
          <w:szCs w:val="21"/>
        </w:rPr>
        <w:t>5.   把手：采用优质不锈钢医用把手；</w:t>
      </w:r>
    </w:p>
    <w:p>
      <w:pPr>
        <w:tabs>
          <w:tab w:val="left" w:pos="482"/>
          <w:tab w:val="left" w:pos="2183"/>
          <w:tab w:val="left" w:pos="3884"/>
          <w:tab w:val="left" w:pos="5585"/>
        </w:tabs>
        <w:snapToGrid w:val="0"/>
        <w:spacing w:line="380" w:lineRule="exact"/>
        <w:ind w:left="527" w:hanging="527" w:hangingChars="250"/>
        <w:rPr>
          <w:rFonts w:ascii="宋体" w:hAnsi="宋体" w:cs="宋体"/>
          <w:szCs w:val="21"/>
        </w:rPr>
      </w:pPr>
      <w:r>
        <w:rPr>
          <w:rFonts w:hint="eastAsia" w:ascii="宋体" w:hAnsi="宋体" w:cs="宋体"/>
          <w:b/>
          <w:bCs/>
          <w:szCs w:val="21"/>
        </w:rPr>
        <w:t>6.   报价合计金额应包括配套门禁的装卸、运输、管理费、税金、门禁系统配合费用、因质量问题引起的维修和更换、技术指导及技术培训等所发生的一切费用，以及安装调试的人工费用、机械费用、安全文明施工费用、清洁费用等。门禁配件应包含：门禁控制器、CPU卡读卡器、出门86型按钮、电子锁扣、双磁力锁、门禁电源、锁用电源、中间继电器等。本项目需接入医院现有的门禁管理系统（原施工单位为奥乐科技有限公司），配合费用500元/套，共计7500元，纳入总报价，并在开工前支付给奥乐科技有限公司。同时为保证兼容性，门禁控制器选用品牌需选用peak。</w:t>
      </w:r>
    </w:p>
    <w:p>
      <w:pPr>
        <w:tabs>
          <w:tab w:val="left" w:pos="482"/>
          <w:tab w:val="left" w:pos="2183"/>
          <w:tab w:val="left" w:pos="3884"/>
          <w:tab w:val="left" w:pos="5585"/>
        </w:tabs>
        <w:snapToGrid w:val="0"/>
        <w:spacing w:line="380" w:lineRule="exact"/>
        <w:ind w:left="527" w:hanging="527" w:hangingChars="250"/>
        <w:rPr>
          <w:rFonts w:ascii="宋体" w:hAnsi="宋体"/>
          <w:b/>
          <w:color w:val="000000"/>
          <w:sz w:val="22"/>
          <w:szCs w:val="22"/>
        </w:rPr>
      </w:pPr>
      <w:r>
        <w:rPr>
          <w:rFonts w:hint="eastAsia" w:ascii="宋体" w:hAnsi="宋体" w:cs="宋体"/>
          <w:b/>
          <w:szCs w:val="21"/>
        </w:rPr>
        <w:t xml:space="preserve">7.1 </w:t>
      </w:r>
      <w:r>
        <w:rPr>
          <w:rFonts w:hint="eastAsia" w:ascii="宋体" w:hAnsi="宋体"/>
          <w:b/>
          <w:color w:val="000000"/>
          <w:sz w:val="22"/>
          <w:szCs w:val="22"/>
        </w:rPr>
        <w:t>本次招标玻璃门含门套、门扇、五金件、运输、安装，直至验收合格。</w:t>
      </w:r>
    </w:p>
    <w:p>
      <w:pPr>
        <w:tabs>
          <w:tab w:val="left" w:pos="2183"/>
          <w:tab w:val="left" w:pos="3884"/>
          <w:tab w:val="left" w:pos="5585"/>
        </w:tabs>
        <w:snapToGrid w:val="0"/>
        <w:spacing w:line="380" w:lineRule="exact"/>
        <w:ind w:left="424" w:hanging="424" w:hangingChars="201"/>
        <w:rPr>
          <w:rFonts w:ascii="宋体" w:hAnsi="宋体" w:cs="宋体"/>
          <w:b/>
          <w:szCs w:val="21"/>
          <w:u w:val="single"/>
        </w:rPr>
      </w:pPr>
      <w:r>
        <w:rPr>
          <w:rFonts w:hint="eastAsia" w:ascii="宋体" w:hAnsi="宋体" w:cs="宋体"/>
          <w:b/>
          <w:szCs w:val="21"/>
        </w:rPr>
        <w:t xml:space="preserve">7.2 </w:t>
      </w:r>
      <w:r>
        <w:rPr>
          <w:rFonts w:hint="eastAsia" w:ascii="宋体" w:hAnsi="宋体" w:cs="宋体"/>
          <w:b/>
          <w:szCs w:val="21"/>
          <w:u w:val="single"/>
        </w:rPr>
        <w:t>招标文件提供的尺寸可能与工地实际存在偏差，中标人须在下料生产前到招标人工地处核查具体尺寸，如提供的玻璃门不能达到安装条件，责任由中标人承担，并免费予以更换至合格；</w:t>
      </w:r>
    </w:p>
    <w:p>
      <w:pPr>
        <w:tabs>
          <w:tab w:val="left" w:pos="482"/>
          <w:tab w:val="left" w:pos="2183"/>
          <w:tab w:val="left" w:pos="3884"/>
          <w:tab w:val="left" w:pos="5585"/>
        </w:tabs>
        <w:snapToGrid w:val="0"/>
        <w:spacing w:line="380" w:lineRule="exact"/>
        <w:ind w:left="527" w:hanging="527" w:hangingChars="250"/>
        <w:rPr>
          <w:rFonts w:ascii="宋体" w:hAnsi="宋体" w:cs="宋体"/>
          <w:b/>
          <w:szCs w:val="21"/>
          <w:u w:val="single"/>
        </w:rPr>
      </w:pPr>
      <w:r>
        <w:rPr>
          <w:rFonts w:hint="eastAsia" w:ascii="宋体" w:hAnsi="宋体" w:cs="宋体"/>
          <w:b/>
          <w:szCs w:val="21"/>
        </w:rPr>
        <w:t xml:space="preserve">7.3 </w:t>
      </w:r>
      <w:r>
        <w:rPr>
          <w:rFonts w:hint="eastAsia" w:ascii="宋体" w:hAnsi="宋体" w:cs="宋体"/>
          <w:b/>
          <w:szCs w:val="21"/>
          <w:u w:val="single"/>
        </w:rPr>
        <w:t>招标人保留最终调整招标数量的权利。</w:t>
      </w:r>
    </w:p>
    <w:p>
      <w:pPr>
        <w:tabs>
          <w:tab w:val="left" w:pos="482"/>
          <w:tab w:val="left" w:pos="2183"/>
          <w:tab w:val="left" w:pos="3884"/>
          <w:tab w:val="left" w:pos="5585"/>
        </w:tabs>
        <w:snapToGrid w:val="0"/>
        <w:spacing w:line="380" w:lineRule="exact"/>
        <w:ind w:left="527" w:hanging="527" w:hangingChars="250"/>
        <w:rPr>
          <w:rFonts w:ascii="宋体" w:hAnsi="宋体" w:cs="宋体"/>
          <w:b/>
          <w:szCs w:val="21"/>
        </w:rPr>
      </w:pPr>
      <w:r>
        <w:rPr>
          <w:rFonts w:hint="eastAsia" w:ascii="宋体" w:hAnsi="宋体" w:cs="宋体"/>
          <w:b/>
          <w:szCs w:val="21"/>
        </w:rPr>
        <w:t>8.  工期：30日历天。</w:t>
      </w:r>
    </w:p>
    <w:p>
      <w:pPr>
        <w:tabs>
          <w:tab w:val="left" w:pos="482"/>
          <w:tab w:val="left" w:pos="2183"/>
          <w:tab w:val="left" w:pos="3884"/>
          <w:tab w:val="left" w:pos="5585"/>
        </w:tabs>
        <w:snapToGrid w:val="0"/>
        <w:spacing w:line="380" w:lineRule="exact"/>
        <w:ind w:left="527" w:hanging="527" w:hangingChars="250"/>
        <w:rPr>
          <w:rFonts w:ascii="宋体" w:hAnsi="宋体" w:cs="宋体"/>
          <w:b/>
          <w:szCs w:val="21"/>
        </w:rPr>
      </w:pPr>
      <w:r>
        <w:rPr>
          <w:rFonts w:hint="eastAsia" w:ascii="宋体" w:hAnsi="宋体" w:cs="宋体"/>
          <w:b/>
          <w:szCs w:val="21"/>
        </w:rPr>
        <w:t>9.  质量保修期两年。</w:t>
      </w:r>
    </w:p>
    <w:p>
      <w:pPr>
        <w:tabs>
          <w:tab w:val="left" w:pos="720"/>
        </w:tabs>
        <w:spacing w:line="380" w:lineRule="exact"/>
        <w:rPr>
          <w:rFonts w:ascii="宋体" w:hAnsi="宋体" w:cs="宋体"/>
          <w:szCs w:val="21"/>
        </w:rPr>
        <w:sectPr>
          <w:pgSz w:w="11906" w:h="16838"/>
          <w:pgMar w:top="1134" w:right="1134" w:bottom="1134" w:left="1134" w:header="851" w:footer="851" w:gutter="0"/>
          <w:cols w:space="720" w:num="1"/>
          <w:titlePg/>
          <w:docGrid w:linePitch="312" w:charSpace="0"/>
        </w:sectPr>
      </w:pPr>
    </w:p>
    <w:p>
      <w:pPr>
        <w:spacing w:line="400" w:lineRule="exact"/>
        <w:jc w:val="left"/>
        <w:rPr>
          <w:rFonts w:ascii="宋体"/>
          <w:b/>
          <w:sz w:val="28"/>
          <w:szCs w:val="28"/>
        </w:rPr>
      </w:pPr>
    </w:p>
    <w:bookmarkEnd w:id="246"/>
    <w:bookmarkEnd w:id="247"/>
    <w:bookmarkEnd w:id="248"/>
    <w:p>
      <w:pPr>
        <w:spacing w:line="360" w:lineRule="auto"/>
        <w:ind w:firstLine="422" w:firstLineChars="200"/>
        <w:rPr>
          <w:rFonts w:ascii="宋体" w:hAnsi="宋体"/>
          <w:b/>
          <w:bCs/>
          <w:szCs w:val="21"/>
        </w:rPr>
      </w:pPr>
      <w:bookmarkStart w:id="249" w:name="_Toc152042571"/>
      <w:bookmarkStart w:id="250" w:name="_Toc152045782"/>
      <w:bookmarkStart w:id="251" w:name="_Toc144974851"/>
      <w:bookmarkStart w:id="252" w:name="_Toc361338302"/>
    </w:p>
    <w:p>
      <w:pPr>
        <w:spacing w:line="360" w:lineRule="auto"/>
        <w:rPr>
          <w:rFonts w:ascii="宋体" w:hAnsi="宋体"/>
          <w:b/>
          <w:bCs/>
          <w:szCs w:val="21"/>
        </w:rPr>
      </w:pPr>
    </w:p>
    <w:p>
      <w:pPr>
        <w:spacing w:line="360" w:lineRule="auto"/>
        <w:ind w:firstLine="422" w:firstLineChars="200"/>
        <w:rPr>
          <w:rFonts w:ascii="宋体" w:hAnsi="宋体"/>
          <w:b/>
          <w:bCs/>
          <w:szCs w:val="21"/>
        </w:rPr>
      </w:pPr>
    </w:p>
    <w:p>
      <w:pPr>
        <w:pStyle w:val="2"/>
        <w:spacing w:before="120" w:after="120" w:line="400" w:lineRule="exact"/>
        <w:jc w:val="center"/>
        <w:rPr>
          <w:rFonts w:ascii="黑体" w:hAnsi="黑体" w:eastAsia="黑体"/>
          <w:b w:val="0"/>
          <w:bCs w:val="0"/>
          <w:sz w:val="32"/>
        </w:rPr>
      </w:pPr>
      <w:r>
        <w:rPr>
          <w:rFonts w:hint="eastAsia" w:ascii="黑体" w:hAnsi="黑体" w:eastAsia="黑体"/>
          <w:b w:val="0"/>
          <w:bCs w:val="0"/>
          <w:sz w:val="32"/>
        </w:rPr>
        <w:t>第六章</w:t>
      </w:r>
      <w:bookmarkEnd w:id="249"/>
      <w:bookmarkEnd w:id="250"/>
      <w:bookmarkEnd w:id="251"/>
      <w:bookmarkStart w:id="253" w:name="_Toc144974855"/>
      <w:bookmarkStart w:id="254" w:name="_Toc152042575"/>
      <w:bookmarkStart w:id="255" w:name="_Toc152045786"/>
      <w:r>
        <w:rPr>
          <w:rFonts w:hint="eastAsia" w:ascii="黑体" w:hAnsi="黑体" w:eastAsia="黑体"/>
          <w:b w:val="0"/>
          <w:bCs w:val="0"/>
          <w:sz w:val="32"/>
        </w:rPr>
        <w:t xml:space="preserve">    投标文件格式</w:t>
      </w:r>
      <w:bookmarkEnd w:id="252"/>
      <w:bookmarkEnd w:id="253"/>
      <w:bookmarkEnd w:id="254"/>
      <w:bookmarkEnd w:id="255"/>
    </w:p>
    <w:p>
      <w:pPr>
        <w:spacing w:line="360" w:lineRule="auto"/>
        <w:ind w:firstLine="422" w:firstLineChars="200"/>
        <w:rPr>
          <w:rFonts w:ascii="宋体" w:hAnsi="宋体"/>
          <w:b/>
          <w:bCs/>
          <w:szCs w:val="21"/>
        </w:rPr>
      </w:pPr>
    </w:p>
    <w:p>
      <w:pPr>
        <w:spacing w:line="360" w:lineRule="auto"/>
        <w:ind w:firstLine="422" w:firstLineChars="200"/>
        <w:rPr>
          <w:rFonts w:ascii="宋体" w:hAnsi="宋体"/>
          <w:b/>
          <w:bCs/>
          <w:szCs w:val="21"/>
        </w:rPr>
      </w:pPr>
    </w:p>
    <w:p>
      <w:pPr>
        <w:spacing w:line="360" w:lineRule="auto"/>
        <w:ind w:firstLine="422" w:firstLineChars="200"/>
        <w:rPr>
          <w:rFonts w:ascii="宋体" w:hAnsi="宋体"/>
          <w:b/>
          <w:bCs/>
          <w:szCs w:val="21"/>
        </w:rPr>
      </w:pPr>
    </w:p>
    <w:p>
      <w:pPr>
        <w:tabs>
          <w:tab w:val="center" w:pos="4621"/>
          <w:tab w:val="left" w:pos="6135"/>
        </w:tabs>
        <w:spacing w:line="380" w:lineRule="exact"/>
      </w:pPr>
      <w:r>
        <w:rPr>
          <w:rFonts w:hint="eastAsia"/>
        </w:rPr>
        <w:t>（一）技术资信标格式</w:t>
      </w:r>
    </w:p>
    <w:p>
      <w:pPr>
        <w:tabs>
          <w:tab w:val="center" w:pos="4621"/>
          <w:tab w:val="left" w:pos="6135"/>
        </w:tabs>
        <w:spacing w:line="380" w:lineRule="exact"/>
      </w:pPr>
      <w:r>
        <w:rPr>
          <w:rFonts w:hint="eastAsia"/>
        </w:rPr>
        <w:t>1、技术资信内容页码对照表</w:t>
      </w:r>
    </w:p>
    <w:p>
      <w:pPr>
        <w:tabs>
          <w:tab w:val="center" w:pos="4621"/>
          <w:tab w:val="left" w:pos="6135"/>
        </w:tabs>
        <w:spacing w:line="380" w:lineRule="exact"/>
      </w:pPr>
      <w:r>
        <w:rPr>
          <w:rFonts w:hint="eastAsia"/>
        </w:rPr>
        <w:t>2、投标人基本情况表，后附资格审查资料：</w:t>
      </w:r>
    </w:p>
    <w:p>
      <w:pPr>
        <w:tabs>
          <w:tab w:val="center" w:pos="4621"/>
          <w:tab w:val="left" w:pos="6135"/>
        </w:tabs>
        <w:spacing w:line="380" w:lineRule="exact"/>
      </w:pPr>
      <w:r>
        <w:rPr>
          <w:rFonts w:hint="eastAsia"/>
        </w:rPr>
        <w:t>a）投标人企业营业执照副本复印件。</w:t>
      </w:r>
    </w:p>
    <w:p>
      <w:pPr>
        <w:tabs>
          <w:tab w:val="center" w:pos="4621"/>
          <w:tab w:val="left" w:pos="6135"/>
        </w:tabs>
        <w:spacing w:line="380" w:lineRule="exact"/>
      </w:pPr>
      <w:r>
        <w:rPr>
          <w:rFonts w:hint="eastAsia"/>
        </w:rPr>
        <w:t>b）投标人认为的其他资料(招标文件要求其它资料)。</w:t>
      </w:r>
    </w:p>
    <w:p>
      <w:pPr>
        <w:tabs>
          <w:tab w:val="center" w:pos="4621"/>
          <w:tab w:val="left" w:pos="6135"/>
        </w:tabs>
        <w:spacing w:line="380" w:lineRule="exact"/>
      </w:pPr>
      <w:r>
        <w:rPr>
          <w:rFonts w:hint="eastAsia"/>
        </w:rPr>
        <w:t>3、投标产品总体制造、安装工艺、装备、技术、质量水平；</w:t>
      </w:r>
    </w:p>
    <w:p>
      <w:pPr>
        <w:tabs>
          <w:tab w:val="center" w:pos="4621"/>
          <w:tab w:val="left" w:pos="6135"/>
        </w:tabs>
        <w:spacing w:line="380" w:lineRule="exact"/>
      </w:pPr>
      <w:r>
        <w:rPr>
          <w:rFonts w:hint="eastAsia"/>
        </w:rPr>
        <w:t>4、投标材料设备品牌选用表；</w:t>
      </w:r>
    </w:p>
    <w:p>
      <w:pPr>
        <w:tabs>
          <w:tab w:val="center" w:pos="4621"/>
          <w:tab w:val="left" w:pos="6135"/>
        </w:tabs>
        <w:spacing w:line="380" w:lineRule="exact"/>
      </w:pPr>
      <w:r>
        <w:rPr>
          <w:rFonts w:hint="eastAsia"/>
        </w:rPr>
        <w:t>5、对产品质量及售后服务方面的措施；</w:t>
      </w:r>
    </w:p>
    <w:p>
      <w:pPr>
        <w:tabs>
          <w:tab w:val="center" w:pos="4621"/>
          <w:tab w:val="left" w:pos="6135"/>
        </w:tabs>
        <w:spacing w:line="380" w:lineRule="exact"/>
      </w:pPr>
      <w:r>
        <w:rPr>
          <w:rFonts w:hint="eastAsia"/>
        </w:rPr>
        <w:t>6、优惠承诺</w:t>
      </w:r>
    </w:p>
    <w:p>
      <w:pPr>
        <w:tabs>
          <w:tab w:val="center" w:pos="4621"/>
          <w:tab w:val="left" w:pos="6135"/>
        </w:tabs>
        <w:spacing w:line="380" w:lineRule="exact"/>
      </w:pPr>
      <w:r>
        <w:rPr>
          <w:rFonts w:hint="eastAsia"/>
        </w:rPr>
        <w:t>7、投标人2015年1月至今类似项目业绩；</w:t>
      </w:r>
    </w:p>
    <w:p>
      <w:pPr>
        <w:tabs>
          <w:tab w:val="center" w:pos="4621"/>
          <w:tab w:val="left" w:pos="6135"/>
        </w:tabs>
        <w:spacing w:line="380" w:lineRule="exact"/>
      </w:pPr>
      <w:r>
        <w:rPr>
          <w:rFonts w:hint="eastAsia"/>
        </w:rPr>
        <w:t>8、投标人认为需要提供的其他资料。</w:t>
      </w:r>
    </w:p>
    <w:p>
      <w:pPr>
        <w:tabs>
          <w:tab w:val="center" w:pos="4621"/>
          <w:tab w:val="left" w:pos="6135"/>
        </w:tabs>
        <w:spacing w:line="380" w:lineRule="exact"/>
      </w:pPr>
      <w:r>
        <w:rPr>
          <w:rFonts w:hint="eastAsia"/>
        </w:rPr>
        <w:t>（二）商务标格式</w:t>
      </w:r>
    </w:p>
    <w:p>
      <w:pPr>
        <w:tabs>
          <w:tab w:val="center" w:pos="4621"/>
          <w:tab w:val="left" w:pos="6135"/>
        </w:tabs>
        <w:spacing w:line="380" w:lineRule="exact"/>
      </w:pPr>
      <w:r>
        <w:rPr>
          <w:rFonts w:hint="eastAsia"/>
        </w:rPr>
        <w:t>1、投标函；</w:t>
      </w:r>
    </w:p>
    <w:p>
      <w:pPr>
        <w:tabs>
          <w:tab w:val="center" w:pos="4621"/>
          <w:tab w:val="left" w:pos="6135"/>
        </w:tabs>
        <w:spacing w:line="380" w:lineRule="exact"/>
      </w:pPr>
      <w:r>
        <w:rPr>
          <w:rFonts w:hint="eastAsia"/>
        </w:rPr>
        <w:t>2、法定代表人身份证明；</w:t>
      </w:r>
    </w:p>
    <w:p>
      <w:pPr>
        <w:tabs>
          <w:tab w:val="center" w:pos="4621"/>
          <w:tab w:val="left" w:pos="6135"/>
        </w:tabs>
        <w:spacing w:line="380" w:lineRule="exact"/>
      </w:pPr>
      <w:r>
        <w:rPr>
          <w:rFonts w:hint="eastAsia"/>
        </w:rPr>
        <w:t xml:space="preserve">3、投标分项报价表； </w:t>
      </w:r>
    </w:p>
    <w:p>
      <w:pPr>
        <w:tabs>
          <w:tab w:val="center" w:pos="4621"/>
          <w:tab w:val="left" w:pos="6135"/>
        </w:tabs>
        <w:spacing w:line="380" w:lineRule="exact"/>
      </w:pPr>
      <w:r>
        <w:rPr>
          <w:rFonts w:hint="eastAsia"/>
        </w:rPr>
        <w:t>4、商务偏离表；</w:t>
      </w:r>
    </w:p>
    <w:p>
      <w:pPr>
        <w:tabs>
          <w:tab w:val="center" w:pos="4621"/>
          <w:tab w:val="left" w:pos="6135"/>
        </w:tabs>
        <w:spacing w:line="380" w:lineRule="exact"/>
      </w:pPr>
      <w:r>
        <w:rPr>
          <w:rFonts w:hint="eastAsia"/>
        </w:rPr>
        <w:t>5、投标人认为需要提供的其他资料及情况说明。</w:t>
      </w:r>
    </w:p>
    <w:p>
      <w:pPr>
        <w:tabs>
          <w:tab w:val="left" w:pos="482"/>
          <w:tab w:val="left" w:pos="2183"/>
          <w:tab w:val="left" w:pos="3884"/>
          <w:tab w:val="left" w:pos="5585"/>
        </w:tabs>
        <w:autoSpaceDE w:val="0"/>
        <w:autoSpaceDN w:val="0"/>
        <w:jc w:val="center"/>
      </w:pPr>
      <w:r>
        <w:rPr>
          <w:rFonts w:hint="eastAsia"/>
        </w:rPr>
        <w:t>（三）授权委托书</w:t>
      </w:r>
      <w:r>
        <w:br w:type="page"/>
      </w:r>
    </w:p>
    <w:p>
      <w:pPr>
        <w:tabs>
          <w:tab w:val="left" w:pos="482"/>
          <w:tab w:val="left" w:pos="2183"/>
          <w:tab w:val="left" w:pos="3884"/>
          <w:tab w:val="left" w:pos="5585"/>
        </w:tabs>
        <w:autoSpaceDE w:val="0"/>
        <w:autoSpaceDN w:val="0"/>
        <w:jc w:val="center"/>
      </w:pPr>
    </w:p>
    <w:p>
      <w:pPr>
        <w:tabs>
          <w:tab w:val="left" w:pos="482"/>
          <w:tab w:val="left" w:pos="2183"/>
          <w:tab w:val="left" w:pos="3884"/>
          <w:tab w:val="left" w:pos="5585"/>
        </w:tabs>
        <w:autoSpaceDE w:val="0"/>
        <w:autoSpaceDN w:val="0"/>
        <w:jc w:val="center"/>
      </w:pPr>
    </w:p>
    <w:p>
      <w:pPr>
        <w:tabs>
          <w:tab w:val="left" w:pos="482"/>
          <w:tab w:val="left" w:pos="2183"/>
          <w:tab w:val="left" w:pos="3884"/>
          <w:tab w:val="left" w:pos="5585"/>
        </w:tabs>
        <w:autoSpaceDE w:val="0"/>
        <w:autoSpaceDN w:val="0"/>
        <w:jc w:val="center"/>
      </w:pPr>
    </w:p>
    <w:p>
      <w:pPr>
        <w:tabs>
          <w:tab w:val="left" w:pos="482"/>
          <w:tab w:val="left" w:pos="2183"/>
          <w:tab w:val="left" w:pos="3884"/>
          <w:tab w:val="left" w:pos="5585"/>
        </w:tabs>
        <w:autoSpaceDE w:val="0"/>
        <w:autoSpaceDN w:val="0"/>
        <w:jc w:val="center"/>
      </w:pPr>
    </w:p>
    <w:p>
      <w:pPr>
        <w:tabs>
          <w:tab w:val="left" w:pos="482"/>
          <w:tab w:val="left" w:pos="2183"/>
          <w:tab w:val="left" w:pos="3884"/>
          <w:tab w:val="left" w:pos="5585"/>
        </w:tabs>
        <w:autoSpaceDE w:val="0"/>
        <w:autoSpaceDN w:val="0"/>
        <w:jc w:val="center"/>
      </w:pPr>
    </w:p>
    <w:p>
      <w:pPr>
        <w:tabs>
          <w:tab w:val="left" w:pos="482"/>
          <w:tab w:val="left" w:pos="2183"/>
          <w:tab w:val="left" w:pos="3884"/>
          <w:tab w:val="left" w:pos="5585"/>
        </w:tabs>
        <w:autoSpaceDE w:val="0"/>
        <w:autoSpaceDN w:val="0"/>
        <w:jc w:val="center"/>
      </w:pPr>
    </w:p>
    <w:p>
      <w:pPr>
        <w:tabs>
          <w:tab w:val="left" w:pos="482"/>
          <w:tab w:val="left" w:pos="2183"/>
          <w:tab w:val="left" w:pos="3884"/>
          <w:tab w:val="left" w:pos="5585"/>
        </w:tabs>
        <w:autoSpaceDE w:val="0"/>
        <w:autoSpaceDN w:val="0"/>
        <w:jc w:val="center"/>
      </w:pPr>
    </w:p>
    <w:p>
      <w:pPr>
        <w:tabs>
          <w:tab w:val="left" w:pos="482"/>
          <w:tab w:val="left" w:pos="2183"/>
          <w:tab w:val="left" w:pos="3884"/>
          <w:tab w:val="left" w:pos="5585"/>
        </w:tabs>
        <w:autoSpaceDE w:val="0"/>
        <w:autoSpaceDN w:val="0"/>
        <w:jc w:val="center"/>
      </w:pPr>
    </w:p>
    <w:p>
      <w:pPr>
        <w:tabs>
          <w:tab w:val="left" w:pos="482"/>
          <w:tab w:val="left" w:pos="2183"/>
          <w:tab w:val="left" w:pos="3884"/>
          <w:tab w:val="left" w:pos="5585"/>
        </w:tabs>
        <w:autoSpaceDE w:val="0"/>
        <w:autoSpaceDN w:val="0"/>
        <w:jc w:val="center"/>
      </w:pPr>
    </w:p>
    <w:p>
      <w:pPr>
        <w:tabs>
          <w:tab w:val="left" w:pos="482"/>
          <w:tab w:val="left" w:pos="2183"/>
          <w:tab w:val="left" w:pos="3884"/>
          <w:tab w:val="left" w:pos="5585"/>
        </w:tabs>
        <w:autoSpaceDE w:val="0"/>
        <w:autoSpaceDN w:val="0"/>
        <w:jc w:val="center"/>
      </w:pPr>
    </w:p>
    <w:p>
      <w:pPr>
        <w:tabs>
          <w:tab w:val="left" w:pos="482"/>
          <w:tab w:val="left" w:pos="2183"/>
          <w:tab w:val="left" w:pos="3884"/>
          <w:tab w:val="left" w:pos="5585"/>
        </w:tabs>
        <w:autoSpaceDE w:val="0"/>
        <w:autoSpaceDN w:val="0"/>
        <w:jc w:val="center"/>
      </w:pPr>
    </w:p>
    <w:p>
      <w:pPr>
        <w:tabs>
          <w:tab w:val="left" w:pos="482"/>
          <w:tab w:val="left" w:pos="2183"/>
          <w:tab w:val="left" w:pos="3884"/>
          <w:tab w:val="left" w:pos="5585"/>
        </w:tabs>
        <w:autoSpaceDE w:val="0"/>
        <w:autoSpaceDN w:val="0"/>
        <w:jc w:val="center"/>
      </w:pPr>
    </w:p>
    <w:p>
      <w:pPr>
        <w:tabs>
          <w:tab w:val="left" w:pos="482"/>
          <w:tab w:val="left" w:pos="2183"/>
          <w:tab w:val="left" w:pos="3884"/>
          <w:tab w:val="left" w:pos="5585"/>
        </w:tabs>
        <w:autoSpaceDE w:val="0"/>
        <w:autoSpaceDN w:val="0"/>
        <w:jc w:val="center"/>
      </w:pPr>
    </w:p>
    <w:p>
      <w:pPr>
        <w:tabs>
          <w:tab w:val="left" w:pos="482"/>
          <w:tab w:val="left" w:pos="2183"/>
          <w:tab w:val="left" w:pos="3884"/>
          <w:tab w:val="left" w:pos="5585"/>
        </w:tabs>
        <w:autoSpaceDE w:val="0"/>
        <w:autoSpaceDN w:val="0"/>
        <w:jc w:val="center"/>
      </w:pPr>
    </w:p>
    <w:p>
      <w:pPr>
        <w:tabs>
          <w:tab w:val="left" w:pos="482"/>
          <w:tab w:val="left" w:pos="2183"/>
          <w:tab w:val="left" w:pos="3884"/>
          <w:tab w:val="left" w:pos="5585"/>
        </w:tabs>
        <w:autoSpaceDE w:val="0"/>
        <w:autoSpaceDN w:val="0"/>
        <w:jc w:val="center"/>
      </w:pPr>
    </w:p>
    <w:p>
      <w:pPr>
        <w:tabs>
          <w:tab w:val="left" w:pos="482"/>
          <w:tab w:val="left" w:pos="2183"/>
          <w:tab w:val="left" w:pos="3884"/>
          <w:tab w:val="left" w:pos="5585"/>
        </w:tabs>
        <w:autoSpaceDE w:val="0"/>
        <w:autoSpaceDN w:val="0"/>
        <w:jc w:val="center"/>
      </w:pPr>
    </w:p>
    <w:p>
      <w:pPr>
        <w:tabs>
          <w:tab w:val="left" w:pos="482"/>
          <w:tab w:val="left" w:pos="2183"/>
          <w:tab w:val="left" w:pos="3884"/>
          <w:tab w:val="left" w:pos="5585"/>
        </w:tabs>
        <w:autoSpaceDE w:val="0"/>
        <w:autoSpaceDN w:val="0"/>
        <w:jc w:val="center"/>
      </w:pPr>
    </w:p>
    <w:p>
      <w:pPr>
        <w:tabs>
          <w:tab w:val="left" w:pos="482"/>
          <w:tab w:val="left" w:pos="2183"/>
          <w:tab w:val="left" w:pos="3884"/>
          <w:tab w:val="left" w:pos="5585"/>
        </w:tabs>
        <w:autoSpaceDE w:val="0"/>
        <w:autoSpaceDN w:val="0"/>
        <w:jc w:val="center"/>
      </w:pPr>
    </w:p>
    <w:p>
      <w:pPr>
        <w:tabs>
          <w:tab w:val="left" w:pos="482"/>
          <w:tab w:val="left" w:pos="2183"/>
          <w:tab w:val="left" w:pos="3884"/>
          <w:tab w:val="left" w:pos="5585"/>
        </w:tabs>
        <w:autoSpaceDE w:val="0"/>
        <w:autoSpaceDN w:val="0"/>
        <w:jc w:val="center"/>
      </w:pPr>
    </w:p>
    <w:p>
      <w:pPr>
        <w:tabs>
          <w:tab w:val="left" w:pos="482"/>
          <w:tab w:val="left" w:pos="2183"/>
          <w:tab w:val="left" w:pos="3884"/>
          <w:tab w:val="left" w:pos="5585"/>
        </w:tabs>
        <w:autoSpaceDE w:val="0"/>
        <w:autoSpaceDN w:val="0"/>
        <w:jc w:val="center"/>
      </w:pPr>
    </w:p>
    <w:p>
      <w:pPr>
        <w:tabs>
          <w:tab w:val="left" w:pos="482"/>
          <w:tab w:val="left" w:pos="2183"/>
          <w:tab w:val="left" w:pos="3884"/>
          <w:tab w:val="left" w:pos="5585"/>
        </w:tabs>
        <w:autoSpaceDE w:val="0"/>
        <w:autoSpaceDN w:val="0"/>
        <w:jc w:val="center"/>
      </w:pPr>
      <w:r>
        <w:rPr>
          <w:rFonts w:hAnsi="宋体"/>
          <w:sz w:val="36"/>
          <w:szCs w:val="36"/>
        </w:rPr>
        <w:t>（一）技术资信标格式</w:t>
      </w:r>
      <w:r>
        <w:rPr>
          <w:b/>
          <w:sz w:val="28"/>
          <w:szCs w:val="28"/>
        </w:rPr>
        <w:br w:type="page"/>
      </w:r>
    </w:p>
    <w:p>
      <w:pPr>
        <w:widowControl/>
        <w:snapToGrid w:val="0"/>
        <w:jc w:val="center"/>
        <w:rPr>
          <w:b/>
          <w:sz w:val="32"/>
        </w:rPr>
      </w:pPr>
      <w:r>
        <w:rPr>
          <w:b/>
          <w:sz w:val="32"/>
        </w:rPr>
        <w:t>1</w:t>
      </w:r>
      <w:r>
        <w:rPr>
          <w:rFonts w:hAnsi="宋体"/>
          <w:b/>
          <w:sz w:val="32"/>
        </w:rPr>
        <w:t>、技术资信内容页码对照表</w:t>
      </w:r>
    </w:p>
    <w:p>
      <w:pPr>
        <w:widowControl/>
        <w:snapToGrid w:val="0"/>
        <w:jc w:val="center"/>
        <w:rPr>
          <w:sz w:val="32"/>
          <w:szCs w:val="32"/>
        </w:rPr>
      </w:pPr>
    </w:p>
    <w:tbl>
      <w:tblPr>
        <w:tblStyle w:val="32"/>
        <w:tblW w:w="968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960"/>
        <w:gridCol w:w="3420"/>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tabs>
                <w:tab w:val="left" w:pos="482"/>
                <w:tab w:val="left" w:pos="2183"/>
                <w:tab w:val="left" w:pos="3884"/>
                <w:tab w:val="left" w:pos="5585"/>
              </w:tabs>
              <w:jc w:val="center"/>
              <w:rPr>
                <w:szCs w:val="21"/>
              </w:rPr>
            </w:pPr>
            <w:r>
              <w:rPr>
                <w:rFonts w:hAnsi="宋体"/>
                <w:szCs w:val="21"/>
              </w:rPr>
              <w:t>序号</w:t>
            </w:r>
          </w:p>
        </w:tc>
        <w:tc>
          <w:tcPr>
            <w:tcW w:w="3960" w:type="dxa"/>
            <w:vAlign w:val="center"/>
          </w:tcPr>
          <w:p>
            <w:pPr>
              <w:tabs>
                <w:tab w:val="left" w:pos="482"/>
                <w:tab w:val="left" w:pos="2183"/>
                <w:tab w:val="left" w:pos="3884"/>
                <w:tab w:val="left" w:pos="5585"/>
              </w:tabs>
              <w:jc w:val="center"/>
              <w:rPr>
                <w:szCs w:val="21"/>
              </w:rPr>
            </w:pPr>
            <w:r>
              <w:rPr>
                <w:rFonts w:hAnsi="宋体"/>
                <w:szCs w:val="21"/>
              </w:rPr>
              <w:t>评分内容</w:t>
            </w:r>
          </w:p>
        </w:tc>
        <w:tc>
          <w:tcPr>
            <w:tcW w:w="3420" w:type="dxa"/>
            <w:vAlign w:val="center"/>
          </w:tcPr>
          <w:p>
            <w:pPr>
              <w:tabs>
                <w:tab w:val="left" w:pos="482"/>
                <w:tab w:val="left" w:pos="2183"/>
                <w:tab w:val="left" w:pos="3884"/>
                <w:tab w:val="left" w:pos="5585"/>
              </w:tabs>
              <w:jc w:val="center"/>
              <w:rPr>
                <w:szCs w:val="21"/>
              </w:rPr>
            </w:pPr>
            <w:r>
              <w:rPr>
                <w:rFonts w:hAnsi="宋体"/>
                <w:szCs w:val="21"/>
              </w:rPr>
              <w:t>投标人描述</w:t>
            </w:r>
          </w:p>
        </w:tc>
        <w:tc>
          <w:tcPr>
            <w:tcW w:w="1477" w:type="dxa"/>
            <w:vAlign w:val="center"/>
          </w:tcPr>
          <w:p>
            <w:pPr>
              <w:tabs>
                <w:tab w:val="left" w:pos="482"/>
                <w:tab w:val="left" w:pos="2183"/>
                <w:tab w:val="left" w:pos="3884"/>
                <w:tab w:val="left" w:pos="5585"/>
              </w:tabs>
              <w:jc w:val="center"/>
              <w:rPr>
                <w:szCs w:val="21"/>
              </w:rPr>
            </w:pPr>
            <w:r>
              <w:rPr>
                <w:rFonts w:hAnsi="宋体"/>
                <w:szCs w:val="21"/>
              </w:rPr>
              <w:t>技术资信标页码位置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tabs>
                <w:tab w:val="left" w:pos="482"/>
                <w:tab w:val="left" w:pos="2183"/>
                <w:tab w:val="left" w:pos="3884"/>
                <w:tab w:val="left" w:pos="5585"/>
              </w:tabs>
              <w:jc w:val="center"/>
              <w:rPr>
                <w:szCs w:val="21"/>
              </w:rPr>
            </w:pPr>
            <w:r>
              <w:rPr>
                <w:szCs w:val="21"/>
              </w:rPr>
              <w:t>1</w:t>
            </w:r>
          </w:p>
        </w:tc>
        <w:tc>
          <w:tcPr>
            <w:tcW w:w="3960" w:type="dxa"/>
            <w:vAlign w:val="center"/>
          </w:tcPr>
          <w:p>
            <w:pPr>
              <w:tabs>
                <w:tab w:val="left" w:pos="482"/>
                <w:tab w:val="left" w:pos="2183"/>
                <w:tab w:val="left" w:pos="3884"/>
                <w:tab w:val="left" w:pos="5585"/>
              </w:tabs>
              <w:rPr>
                <w:szCs w:val="21"/>
              </w:rPr>
            </w:pPr>
            <w:r>
              <w:rPr>
                <w:rFonts w:hAnsi="宋体"/>
                <w:szCs w:val="21"/>
              </w:rPr>
              <w:t>投标人基本情况表</w:t>
            </w:r>
          </w:p>
        </w:tc>
        <w:tc>
          <w:tcPr>
            <w:tcW w:w="3420" w:type="dxa"/>
            <w:vAlign w:val="center"/>
          </w:tcPr>
          <w:p>
            <w:pPr>
              <w:tabs>
                <w:tab w:val="left" w:pos="482"/>
                <w:tab w:val="left" w:pos="2183"/>
                <w:tab w:val="left" w:pos="3884"/>
                <w:tab w:val="left" w:pos="5585"/>
              </w:tabs>
              <w:jc w:val="center"/>
              <w:rPr>
                <w:szCs w:val="21"/>
              </w:rPr>
            </w:pPr>
          </w:p>
        </w:tc>
        <w:tc>
          <w:tcPr>
            <w:tcW w:w="1477" w:type="dxa"/>
            <w:vAlign w:val="center"/>
          </w:tcPr>
          <w:p>
            <w:pPr>
              <w:tabs>
                <w:tab w:val="left" w:pos="482"/>
                <w:tab w:val="left" w:pos="2183"/>
                <w:tab w:val="left" w:pos="3884"/>
                <w:tab w:val="left" w:pos="5585"/>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tabs>
                <w:tab w:val="left" w:pos="482"/>
                <w:tab w:val="left" w:pos="2183"/>
                <w:tab w:val="left" w:pos="3884"/>
                <w:tab w:val="left" w:pos="5585"/>
              </w:tabs>
              <w:jc w:val="center"/>
              <w:rPr>
                <w:szCs w:val="21"/>
              </w:rPr>
            </w:pPr>
          </w:p>
        </w:tc>
        <w:tc>
          <w:tcPr>
            <w:tcW w:w="3960" w:type="dxa"/>
            <w:vAlign w:val="center"/>
          </w:tcPr>
          <w:p>
            <w:pPr>
              <w:tabs>
                <w:tab w:val="left" w:pos="482"/>
                <w:tab w:val="left" w:pos="2183"/>
                <w:tab w:val="left" w:pos="3884"/>
                <w:tab w:val="left" w:pos="5585"/>
              </w:tabs>
              <w:rPr>
                <w:szCs w:val="21"/>
              </w:rPr>
            </w:pPr>
            <w:r>
              <w:rPr>
                <w:szCs w:val="21"/>
              </w:rPr>
              <w:t>……</w:t>
            </w:r>
          </w:p>
        </w:tc>
        <w:tc>
          <w:tcPr>
            <w:tcW w:w="3420" w:type="dxa"/>
            <w:vAlign w:val="center"/>
          </w:tcPr>
          <w:p>
            <w:pPr>
              <w:tabs>
                <w:tab w:val="left" w:pos="482"/>
                <w:tab w:val="left" w:pos="2183"/>
                <w:tab w:val="left" w:pos="3884"/>
                <w:tab w:val="left" w:pos="5585"/>
              </w:tabs>
              <w:jc w:val="center"/>
              <w:rPr>
                <w:szCs w:val="21"/>
              </w:rPr>
            </w:pPr>
          </w:p>
        </w:tc>
        <w:tc>
          <w:tcPr>
            <w:tcW w:w="1477" w:type="dxa"/>
            <w:vAlign w:val="center"/>
          </w:tcPr>
          <w:p>
            <w:pPr>
              <w:tabs>
                <w:tab w:val="left" w:pos="482"/>
                <w:tab w:val="left" w:pos="2183"/>
                <w:tab w:val="left" w:pos="3884"/>
                <w:tab w:val="left" w:pos="5585"/>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tabs>
                <w:tab w:val="left" w:pos="482"/>
                <w:tab w:val="left" w:pos="2183"/>
                <w:tab w:val="left" w:pos="3884"/>
                <w:tab w:val="left" w:pos="5585"/>
              </w:tabs>
              <w:jc w:val="center"/>
              <w:rPr>
                <w:szCs w:val="21"/>
              </w:rPr>
            </w:pPr>
          </w:p>
        </w:tc>
        <w:tc>
          <w:tcPr>
            <w:tcW w:w="3960" w:type="dxa"/>
            <w:vAlign w:val="center"/>
          </w:tcPr>
          <w:p>
            <w:pPr>
              <w:tabs>
                <w:tab w:val="left" w:pos="482"/>
                <w:tab w:val="left" w:pos="2183"/>
                <w:tab w:val="left" w:pos="3884"/>
                <w:tab w:val="left" w:pos="5585"/>
              </w:tabs>
              <w:rPr>
                <w:szCs w:val="21"/>
              </w:rPr>
            </w:pPr>
          </w:p>
        </w:tc>
        <w:tc>
          <w:tcPr>
            <w:tcW w:w="3420" w:type="dxa"/>
            <w:vAlign w:val="center"/>
          </w:tcPr>
          <w:p>
            <w:pPr>
              <w:tabs>
                <w:tab w:val="left" w:pos="482"/>
                <w:tab w:val="left" w:pos="2183"/>
                <w:tab w:val="left" w:pos="3884"/>
                <w:tab w:val="left" w:pos="5585"/>
              </w:tabs>
              <w:rPr>
                <w:szCs w:val="21"/>
              </w:rPr>
            </w:pPr>
          </w:p>
        </w:tc>
        <w:tc>
          <w:tcPr>
            <w:tcW w:w="1477" w:type="dxa"/>
            <w:vAlign w:val="center"/>
          </w:tcPr>
          <w:p>
            <w:pPr>
              <w:tabs>
                <w:tab w:val="left" w:pos="482"/>
                <w:tab w:val="left" w:pos="2183"/>
                <w:tab w:val="left" w:pos="3884"/>
                <w:tab w:val="left" w:pos="5585"/>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tabs>
                <w:tab w:val="left" w:pos="482"/>
                <w:tab w:val="left" w:pos="2183"/>
                <w:tab w:val="left" w:pos="3884"/>
                <w:tab w:val="left" w:pos="5585"/>
              </w:tabs>
              <w:jc w:val="center"/>
              <w:rPr>
                <w:szCs w:val="21"/>
              </w:rPr>
            </w:pPr>
          </w:p>
        </w:tc>
        <w:tc>
          <w:tcPr>
            <w:tcW w:w="3960" w:type="dxa"/>
            <w:vAlign w:val="center"/>
          </w:tcPr>
          <w:p>
            <w:pPr>
              <w:tabs>
                <w:tab w:val="left" w:pos="482"/>
                <w:tab w:val="left" w:pos="2183"/>
                <w:tab w:val="left" w:pos="3884"/>
                <w:tab w:val="left" w:pos="5585"/>
              </w:tabs>
              <w:rPr>
                <w:szCs w:val="21"/>
              </w:rPr>
            </w:pPr>
          </w:p>
        </w:tc>
        <w:tc>
          <w:tcPr>
            <w:tcW w:w="3420" w:type="dxa"/>
            <w:vAlign w:val="center"/>
          </w:tcPr>
          <w:p>
            <w:pPr>
              <w:tabs>
                <w:tab w:val="left" w:pos="482"/>
                <w:tab w:val="left" w:pos="2183"/>
                <w:tab w:val="left" w:pos="3884"/>
                <w:tab w:val="left" w:pos="5585"/>
              </w:tabs>
              <w:rPr>
                <w:szCs w:val="21"/>
              </w:rPr>
            </w:pPr>
          </w:p>
        </w:tc>
        <w:tc>
          <w:tcPr>
            <w:tcW w:w="1477" w:type="dxa"/>
            <w:vAlign w:val="center"/>
          </w:tcPr>
          <w:p>
            <w:pPr>
              <w:tabs>
                <w:tab w:val="left" w:pos="482"/>
                <w:tab w:val="left" w:pos="2183"/>
                <w:tab w:val="left" w:pos="3884"/>
                <w:tab w:val="left" w:pos="5585"/>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828" w:type="dxa"/>
            <w:vAlign w:val="center"/>
          </w:tcPr>
          <w:p>
            <w:pPr>
              <w:tabs>
                <w:tab w:val="left" w:pos="482"/>
                <w:tab w:val="left" w:pos="2183"/>
                <w:tab w:val="left" w:pos="3884"/>
                <w:tab w:val="left" w:pos="5585"/>
              </w:tabs>
              <w:jc w:val="center"/>
              <w:rPr>
                <w:szCs w:val="21"/>
              </w:rPr>
            </w:pPr>
          </w:p>
        </w:tc>
        <w:tc>
          <w:tcPr>
            <w:tcW w:w="3960" w:type="dxa"/>
            <w:vAlign w:val="center"/>
          </w:tcPr>
          <w:p>
            <w:pPr>
              <w:tabs>
                <w:tab w:val="left" w:pos="482"/>
                <w:tab w:val="left" w:pos="2183"/>
                <w:tab w:val="left" w:pos="3884"/>
                <w:tab w:val="left" w:pos="5585"/>
              </w:tabs>
              <w:rPr>
                <w:szCs w:val="21"/>
              </w:rPr>
            </w:pPr>
          </w:p>
        </w:tc>
        <w:tc>
          <w:tcPr>
            <w:tcW w:w="3420" w:type="dxa"/>
            <w:vAlign w:val="center"/>
          </w:tcPr>
          <w:p>
            <w:pPr>
              <w:tabs>
                <w:tab w:val="left" w:pos="482"/>
                <w:tab w:val="left" w:pos="2183"/>
                <w:tab w:val="left" w:pos="3884"/>
                <w:tab w:val="left" w:pos="5585"/>
              </w:tabs>
              <w:jc w:val="center"/>
              <w:rPr>
                <w:szCs w:val="21"/>
              </w:rPr>
            </w:pPr>
          </w:p>
        </w:tc>
        <w:tc>
          <w:tcPr>
            <w:tcW w:w="1477" w:type="dxa"/>
            <w:vAlign w:val="center"/>
          </w:tcPr>
          <w:p>
            <w:pPr>
              <w:tabs>
                <w:tab w:val="left" w:pos="482"/>
                <w:tab w:val="left" w:pos="2183"/>
                <w:tab w:val="left" w:pos="3884"/>
                <w:tab w:val="left" w:pos="5585"/>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tabs>
                <w:tab w:val="left" w:pos="482"/>
                <w:tab w:val="left" w:pos="2183"/>
                <w:tab w:val="left" w:pos="3884"/>
                <w:tab w:val="left" w:pos="5585"/>
              </w:tabs>
              <w:jc w:val="center"/>
              <w:rPr>
                <w:szCs w:val="21"/>
              </w:rPr>
            </w:pPr>
          </w:p>
        </w:tc>
        <w:tc>
          <w:tcPr>
            <w:tcW w:w="3960" w:type="dxa"/>
            <w:vAlign w:val="center"/>
          </w:tcPr>
          <w:p>
            <w:pPr>
              <w:tabs>
                <w:tab w:val="left" w:pos="482"/>
                <w:tab w:val="left" w:pos="2183"/>
                <w:tab w:val="left" w:pos="3884"/>
                <w:tab w:val="left" w:pos="5585"/>
              </w:tabs>
              <w:rPr>
                <w:szCs w:val="21"/>
              </w:rPr>
            </w:pPr>
          </w:p>
        </w:tc>
        <w:tc>
          <w:tcPr>
            <w:tcW w:w="3420" w:type="dxa"/>
            <w:vAlign w:val="center"/>
          </w:tcPr>
          <w:p>
            <w:pPr>
              <w:tabs>
                <w:tab w:val="left" w:pos="482"/>
                <w:tab w:val="left" w:pos="2183"/>
                <w:tab w:val="left" w:pos="3884"/>
                <w:tab w:val="left" w:pos="5585"/>
              </w:tabs>
              <w:jc w:val="center"/>
              <w:rPr>
                <w:szCs w:val="21"/>
              </w:rPr>
            </w:pPr>
          </w:p>
        </w:tc>
        <w:tc>
          <w:tcPr>
            <w:tcW w:w="1477" w:type="dxa"/>
            <w:vAlign w:val="center"/>
          </w:tcPr>
          <w:p>
            <w:pPr>
              <w:tabs>
                <w:tab w:val="left" w:pos="482"/>
                <w:tab w:val="left" w:pos="2183"/>
                <w:tab w:val="left" w:pos="3884"/>
                <w:tab w:val="left" w:pos="5585"/>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tabs>
                <w:tab w:val="left" w:pos="482"/>
                <w:tab w:val="left" w:pos="2183"/>
                <w:tab w:val="left" w:pos="3884"/>
                <w:tab w:val="left" w:pos="5585"/>
              </w:tabs>
              <w:jc w:val="center"/>
              <w:rPr>
                <w:szCs w:val="21"/>
              </w:rPr>
            </w:pPr>
          </w:p>
        </w:tc>
        <w:tc>
          <w:tcPr>
            <w:tcW w:w="3960" w:type="dxa"/>
            <w:vAlign w:val="center"/>
          </w:tcPr>
          <w:p>
            <w:pPr>
              <w:tabs>
                <w:tab w:val="left" w:pos="482"/>
                <w:tab w:val="left" w:pos="2183"/>
                <w:tab w:val="left" w:pos="3884"/>
                <w:tab w:val="left" w:pos="5585"/>
              </w:tabs>
              <w:rPr>
                <w:szCs w:val="21"/>
              </w:rPr>
            </w:pPr>
          </w:p>
        </w:tc>
        <w:tc>
          <w:tcPr>
            <w:tcW w:w="3420" w:type="dxa"/>
            <w:vAlign w:val="center"/>
          </w:tcPr>
          <w:p>
            <w:pPr>
              <w:tabs>
                <w:tab w:val="left" w:pos="482"/>
                <w:tab w:val="left" w:pos="2183"/>
                <w:tab w:val="left" w:pos="3884"/>
                <w:tab w:val="left" w:pos="5585"/>
              </w:tabs>
              <w:jc w:val="center"/>
              <w:rPr>
                <w:szCs w:val="21"/>
              </w:rPr>
            </w:pPr>
          </w:p>
        </w:tc>
        <w:tc>
          <w:tcPr>
            <w:tcW w:w="1477" w:type="dxa"/>
            <w:vAlign w:val="center"/>
          </w:tcPr>
          <w:p>
            <w:pPr>
              <w:tabs>
                <w:tab w:val="left" w:pos="482"/>
                <w:tab w:val="left" w:pos="2183"/>
                <w:tab w:val="left" w:pos="3884"/>
                <w:tab w:val="left" w:pos="5585"/>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tabs>
                <w:tab w:val="left" w:pos="482"/>
                <w:tab w:val="left" w:pos="2183"/>
                <w:tab w:val="left" w:pos="3884"/>
                <w:tab w:val="left" w:pos="5585"/>
              </w:tabs>
              <w:jc w:val="center"/>
              <w:rPr>
                <w:szCs w:val="21"/>
              </w:rPr>
            </w:pPr>
          </w:p>
        </w:tc>
        <w:tc>
          <w:tcPr>
            <w:tcW w:w="3960" w:type="dxa"/>
            <w:vAlign w:val="center"/>
          </w:tcPr>
          <w:p>
            <w:pPr>
              <w:tabs>
                <w:tab w:val="left" w:pos="482"/>
                <w:tab w:val="left" w:pos="2183"/>
                <w:tab w:val="left" w:pos="3884"/>
                <w:tab w:val="left" w:pos="5585"/>
              </w:tabs>
              <w:rPr>
                <w:szCs w:val="21"/>
              </w:rPr>
            </w:pPr>
          </w:p>
        </w:tc>
        <w:tc>
          <w:tcPr>
            <w:tcW w:w="3420" w:type="dxa"/>
            <w:vAlign w:val="center"/>
          </w:tcPr>
          <w:p>
            <w:pPr>
              <w:tabs>
                <w:tab w:val="left" w:pos="482"/>
                <w:tab w:val="left" w:pos="2183"/>
                <w:tab w:val="left" w:pos="3884"/>
                <w:tab w:val="left" w:pos="5585"/>
              </w:tabs>
              <w:jc w:val="center"/>
              <w:rPr>
                <w:szCs w:val="21"/>
              </w:rPr>
            </w:pPr>
          </w:p>
        </w:tc>
        <w:tc>
          <w:tcPr>
            <w:tcW w:w="1477" w:type="dxa"/>
            <w:vAlign w:val="center"/>
          </w:tcPr>
          <w:p>
            <w:pPr>
              <w:tabs>
                <w:tab w:val="left" w:pos="482"/>
                <w:tab w:val="left" w:pos="2183"/>
                <w:tab w:val="left" w:pos="3884"/>
                <w:tab w:val="left" w:pos="5585"/>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tabs>
                <w:tab w:val="left" w:pos="482"/>
                <w:tab w:val="left" w:pos="2183"/>
                <w:tab w:val="left" w:pos="3884"/>
                <w:tab w:val="left" w:pos="5585"/>
              </w:tabs>
              <w:jc w:val="center"/>
              <w:rPr>
                <w:szCs w:val="21"/>
              </w:rPr>
            </w:pPr>
          </w:p>
        </w:tc>
        <w:tc>
          <w:tcPr>
            <w:tcW w:w="3960" w:type="dxa"/>
            <w:vAlign w:val="center"/>
          </w:tcPr>
          <w:p>
            <w:pPr>
              <w:tabs>
                <w:tab w:val="left" w:pos="482"/>
                <w:tab w:val="left" w:pos="2183"/>
                <w:tab w:val="left" w:pos="3884"/>
                <w:tab w:val="left" w:pos="5585"/>
              </w:tabs>
              <w:rPr>
                <w:szCs w:val="21"/>
              </w:rPr>
            </w:pPr>
          </w:p>
        </w:tc>
        <w:tc>
          <w:tcPr>
            <w:tcW w:w="3420" w:type="dxa"/>
            <w:vAlign w:val="center"/>
          </w:tcPr>
          <w:p>
            <w:pPr>
              <w:tabs>
                <w:tab w:val="left" w:pos="482"/>
                <w:tab w:val="left" w:pos="2183"/>
                <w:tab w:val="left" w:pos="3884"/>
                <w:tab w:val="left" w:pos="5585"/>
              </w:tabs>
              <w:jc w:val="center"/>
              <w:rPr>
                <w:szCs w:val="21"/>
              </w:rPr>
            </w:pPr>
          </w:p>
        </w:tc>
        <w:tc>
          <w:tcPr>
            <w:tcW w:w="1477" w:type="dxa"/>
            <w:vAlign w:val="center"/>
          </w:tcPr>
          <w:p>
            <w:pPr>
              <w:tabs>
                <w:tab w:val="left" w:pos="482"/>
                <w:tab w:val="left" w:pos="2183"/>
                <w:tab w:val="left" w:pos="3884"/>
                <w:tab w:val="left" w:pos="5585"/>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tabs>
                <w:tab w:val="left" w:pos="482"/>
                <w:tab w:val="left" w:pos="2183"/>
                <w:tab w:val="left" w:pos="3884"/>
                <w:tab w:val="left" w:pos="5585"/>
              </w:tabs>
              <w:jc w:val="center"/>
              <w:rPr>
                <w:szCs w:val="21"/>
              </w:rPr>
            </w:pPr>
          </w:p>
        </w:tc>
        <w:tc>
          <w:tcPr>
            <w:tcW w:w="3960" w:type="dxa"/>
            <w:vAlign w:val="center"/>
          </w:tcPr>
          <w:p>
            <w:pPr>
              <w:tabs>
                <w:tab w:val="left" w:pos="482"/>
                <w:tab w:val="left" w:pos="2183"/>
                <w:tab w:val="left" w:pos="3884"/>
                <w:tab w:val="left" w:pos="5585"/>
              </w:tabs>
              <w:rPr>
                <w:szCs w:val="21"/>
              </w:rPr>
            </w:pPr>
          </w:p>
        </w:tc>
        <w:tc>
          <w:tcPr>
            <w:tcW w:w="3420" w:type="dxa"/>
            <w:vAlign w:val="center"/>
          </w:tcPr>
          <w:p>
            <w:pPr>
              <w:tabs>
                <w:tab w:val="left" w:pos="482"/>
                <w:tab w:val="left" w:pos="2183"/>
                <w:tab w:val="left" w:pos="3884"/>
                <w:tab w:val="left" w:pos="5585"/>
              </w:tabs>
              <w:jc w:val="center"/>
              <w:rPr>
                <w:szCs w:val="21"/>
              </w:rPr>
            </w:pPr>
          </w:p>
        </w:tc>
        <w:tc>
          <w:tcPr>
            <w:tcW w:w="1477" w:type="dxa"/>
            <w:vAlign w:val="center"/>
          </w:tcPr>
          <w:p>
            <w:pPr>
              <w:tabs>
                <w:tab w:val="left" w:pos="482"/>
                <w:tab w:val="left" w:pos="2183"/>
                <w:tab w:val="left" w:pos="3884"/>
                <w:tab w:val="left" w:pos="5585"/>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7" w:hRule="atLeast"/>
          <w:jc w:val="center"/>
        </w:trPr>
        <w:tc>
          <w:tcPr>
            <w:tcW w:w="828" w:type="dxa"/>
            <w:vAlign w:val="center"/>
          </w:tcPr>
          <w:p>
            <w:pPr>
              <w:tabs>
                <w:tab w:val="left" w:pos="482"/>
                <w:tab w:val="left" w:pos="2183"/>
                <w:tab w:val="left" w:pos="3884"/>
                <w:tab w:val="left" w:pos="5585"/>
              </w:tabs>
              <w:jc w:val="center"/>
              <w:rPr>
                <w:szCs w:val="21"/>
              </w:rPr>
            </w:pPr>
          </w:p>
        </w:tc>
        <w:tc>
          <w:tcPr>
            <w:tcW w:w="3960" w:type="dxa"/>
            <w:vAlign w:val="center"/>
          </w:tcPr>
          <w:p>
            <w:pPr>
              <w:tabs>
                <w:tab w:val="left" w:pos="482"/>
                <w:tab w:val="left" w:pos="2183"/>
                <w:tab w:val="left" w:pos="3884"/>
                <w:tab w:val="left" w:pos="5585"/>
              </w:tabs>
              <w:rPr>
                <w:szCs w:val="21"/>
              </w:rPr>
            </w:pPr>
          </w:p>
        </w:tc>
        <w:tc>
          <w:tcPr>
            <w:tcW w:w="3420" w:type="dxa"/>
            <w:vAlign w:val="center"/>
          </w:tcPr>
          <w:p>
            <w:pPr>
              <w:tabs>
                <w:tab w:val="left" w:pos="482"/>
                <w:tab w:val="left" w:pos="2183"/>
                <w:tab w:val="left" w:pos="3884"/>
                <w:tab w:val="left" w:pos="5585"/>
              </w:tabs>
              <w:rPr>
                <w:szCs w:val="21"/>
              </w:rPr>
            </w:pPr>
          </w:p>
        </w:tc>
        <w:tc>
          <w:tcPr>
            <w:tcW w:w="1477" w:type="dxa"/>
            <w:vAlign w:val="center"/>
          </w:tcPr>
          <w:p>
            <w:pPr>
              <w:tabs>
                <w:tab w:val="left" w:pos="482"/>
                <w:tab w:val="left" w:pos="2183"/>
                <w:tab w:val="left" w:pos="3884"/>
                <w:tab w:val="left" w:pos="5585"/>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tabs>
                <w:tab w:val="left" w:pos="482"/>
                <w:tab w:val="left" w:pos="2183"/>
                <w:tab w:val="left" w:pos="3884"/>
                <w:tab w:val="left" w:pos="5585"/>
              </w:tabs>
              <w:jc w:val="center"/>
              <w:rPr>
                <w:szCs w:val="21"/>
              </w:rPr>
            </w:pPr>
          </w:p>
        </w:tc>
        <w:tc>
          <w:tcPr>
            <w:tcW w:w="3960" w:type="dxa"/>
            <w:vAlign w:val="center"/>
          </w:tcPr>
          <w:p>
            <w:pPr>
              <w:tabs>
                <w:tab w:val="left" w:pos="482"/>
                <w:tab w:val="left" w:pos="2183"/>
                <w:tab w:val="left" w:pos="3884"/>
                <w:tab w:val="left" w:pos="5585"/>
              </w:tabs>
              <w:rPr>
                <w:szCs w:val="21"/>
              </w:rPr>
            </w:pPr>
          </w:p>
        </w:tc>
        <w:tc>
          <w:tcPr>
            <w:tcW w:w="3420" w:type="dxa"/>
            <w:vAlign w:val="center"/>
          </w:tcPr>
          <w:p>
            <w:pPr>
              <w:tabs>
                <w:tab w:val="left" w:pos="482"/>
                <w:tab w:val="left" w:pos="2183"/>
                <w:tab w:val="left" w:pos="3884"/>
                <w:tab w:val="left" w:pos="5585"/>
              </w:tabs>
              <w:rPr>
                <w:szCs w:val="21"/>
              </w:rPr>
            </w:pPr>
          </w:p>
        </w:tc>
        <w:tc>
          <w:tcPr>
            <w:tcW w:w="1477" w:type="dxa"/>
            <w:vAlign w:val="center"/>
          </w:tcPr>
          <w:p>
            <w:pPr>
              <w:tabs>
                <w:tab w:val="left" w:pos="482"/>
                <w:tab w:val="left" w:pos="2183"/>
                <w:tab w:val="left" w:pos="3884"/>
                <w:tab w:val="left" w:pos="5585"/>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tabs>
                <w:tab w:val="left" w:pos="482"/>
                <w:tab w:val="left" w:pos="2183"/>
                <w:tab w:val="left" w:pos="3884"/>
                <w:tab w:val="left" w:pos="5585"/>
              </w:tabs>
              <w:jc w:val="center"/>
              <w:rPr>
                <w:szCs w:val="21"/>
              </w:rPr>
            </w:pPr>
          </w:p>
        </w:tc>
        <w:tc>
          <w:tcPr>
            <w:tcW w:w="3960" w:type="dxa"/>
            <w:vAlign w:val="center"/>
          </w:tcPr>
          <w:p>
            <w:pPr>
              <w:tabs>
                <w:tab w:val="left" w:pos="482"/>
                <w:tab w:val="left" w:pos="2183"/>
                <w:tab w:val="left" w:pos="3884"/>
                <w:tab w:val="left" w:pos="5585"/>
              </w:tabs>
              <w:rPr>
                <w:szCs w:val="21"/>
              </w:rPr>
            </w:pPr>
          </w:p>
        </w:tc>
        <w:tc>
          <w:tcPr>
            <w:tcW w:w="3420" w:type="dxa"/>
            <w:vAlign w:val="center"/>
          </w:tcPr>
          <w:p>
            <w:pPr>
              <w:tabs>
                <w:tab w:val="left" w:pos="482"/>
                <w:tab w:val="left" w:pos="2183"/>
                <w:tab w:val="left" w:pos="3884"/>
                <w:tab w:val="left" w:pos="5585"/>
              </w:tabs>
              <w:rPr>
                <w:szCs w:val="21"/>
              </w:rPr>
            </w:pPr>
          </w:p>
        </w:tc>
        <w:tc>
          <w:tcPr>
            <w:tcW w:w="1477" w:type="dxa"/>
            <w:vAlign w:val="center"/>
          </w:tcPr>
          <w:p>
            <w:pPr>
              <w:tabs>
                <w:tab w:val="left" w:pos="482"/>
                <w:tab w:val="left" w:pos="2183"/>
                <w:tab w:val="left" w:pos="3884"/>
                <w:tab w:val="left" w:pos="5585"/>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tabs>
                <w:tab w:val="left" w:pos="482"/>
                <w:tab w:val="left" w:pos="2183"/>
                <w:tab w:val="left" w:pos="3884"/>
                <w:tab w:val="left" w:pos="5585"/>
              </w:tabs>
              <w:jc w:val="center"/>
              <w:rPr>
                <w:szCs w:val="21"/>
              </w:rPr>
            </w:pPr>
          </w:p>
        </w:tc>
        <w:tc>
          <w:tcPr>
            <w:tcW w:w="3960" w:type="dxa"/>
            <w:vAlign w:val="center"/>
          </w:tcPr>
          <w:p>
            <w:pPr>
              <w:tabs>
                <w:tab w:val="left" w:pos="482"/>
                <w:tab w:val="left" w:pos="2183"/>
                <w:tab w:val="left" w:pos="3884"/>
                <w:tab w:val="left" w:pos="5585"/>
              </w:tabs>
              <w:rPr>
                <w:szCs w:val="21"/>
              </w:rPr>
            </w:pPr>
          </w:p>
        </w:tc>
        <w:tc>
          <w:tcPr>
            <w:tcW w:w="3420" w:type="dxa"/>
            <w:vAlign w:val="center"/>
          </w:tcPr>
          <w:p>
            <w:pPr>
              <w:tabs>
                <w:tab w:val="left" w:pos="482"/>
                <w:tab w:val="left" w:pos="2183"/>
                <w:tab w:val="left" w:pos="3884"/>
                <w:tab w:val="left" w:pos="5585"/>
              </w:tabs>
              <w:jc w:val="center"/>
              <w:rPr>
                <w:szCs w:val="21"/>
              </w:rPr>
            </w:pPr>
          </w:p>
        </w:tc>
        <w:tc>
          <w:tcPr>
            <w:tcW w:w="1477" w:type="dxa"/>
            <w:vAlign w:val="center"/>
          </w:tcPr>
          <w:p>
            <w:pPr>
              <w:tabs>
                <w:tab w:val="left" w:pos="482"/>
                <w:tab w:val="left" w:pos="2183"/>
                <w:tab w:val="left" w:pos="3884"/>
                <w:tab w:val="left" w:pos="5585"/>
              </w:tabs>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28" w:type="dxa"/>
            <w:vAlign w:val="center"/>
          </w:tcPr>
          <w:p>
            <w:pPr>
              <w:tabs>
                <w:tab w:val="left" w:pos="482"/>
                <w:tab w:val="left" w:pos="2183"/>
                <w:tab w:val="left" w:pos="3884"/>
                <w:tab w:val="left" w:pos="5585"/>
              </w:tabs>
              <w:jc w:val="center"/>
              <w:rPr>
                <w:szCs w:val="21"/>
              </w:rPr>
            </w:pPr>
          </w:p>
        </w:tc>
        <w:tc>
          <w:tcPr>
            <w:tcW w:w="3960" w:type="dxa"/>
            <w:vAlign w:val="center"/>
          </w:tcPr>
          <w:p>
            <w:pPr>
              <w:tabs>
                <w:tab w:val="left" w:pos="482"/>
                <w:tab w:val="left" w:pos="2183"/>
                <w:tab w:val="left" w:pos="3884"/>
                <w:tab w:val="left" w:pos="5585"/>
              </w:tabs>
              <w:rPr>
                <w:szCs w:val="21"/>
              </w:rPr>
            </w:pPr>
          </w:p>
        </w:tc>
        <w:tc>
          <w:tcPr>
            <w:tcW w:w="3420" w:type="dxa"/>
            <w:vAlign w:val="center"/>
          </w:tcPr>
          <w:p>
            <w:pPr>
              <w:tabs>
                <w:tab w:val="left" w:pos="482"/>
                <w:tab w:val="left" w:pos="2183"/>
                <w:tab w:val="left" w:pos="3884"/>
                <w:tab w:val="left" w:pos="5585"/>
              </w:tabs>
              <w:jc w:val="center"/>
              <w:rPr>
                <w:szCs w:val="21"/>
              </w:rPr>
            </w:pPr>
          </w:p>
        </w:tc>
        <w:tc>
          <w:tcPr>
            <w:tcW w:w="1477" w:type="dxa"/>
            <w:vAlign w:val="center"/>
          </w:tcPr>
          <w:p>
            <w:pPr>
              <w:tabs>
                <w:tab w:val="left" w:pos="482"/>
                <w:tab w:val="left" w:pos="2183"/>
                <w:tab w:val="left" w:pos="3884"/>
                <w:tab w:val="left" w:pos="5585"/>
              </w:tabs>
              <w:jc w:val="center"/>
              <w:rPr>
                <w:szCs w:val="21"/>
              </w:rPr>
            </w:pPr>
          </w:p>
        </w:tc>
      </w:tr>
    </w:tbl>
    <w:p>
      <w:pPr>
        <w:pStyle w:val="56"/>
        <w:jc w:val="center"/>
        <w:rPr>
          <w:rFonts w:eastAsia="宋体" w:cs="Times New Roman"/>
        </w:rPr>
        <w:sectPr>
          <w:pgSz w:w="11906" w:h="16838"/>
          <w:pgMar w:top="1417" w:right="1474" w:bottom="1361" w:left="1474" w:header="737" w:footer="737" w:gutter="0"/>
          <w:cols w:space="720" w:num="1"/>
          <w:docGrid w:linePitch="312" w:charSpace="0"/>
        </w:sectPr>
      </w:pPr>
      <w:bookmarkStart w:id="256" w:name="_Toc152042580"/>
      <w:bookmarkStart w:id="257" w:name="_Toc144974860"/>
      <w:bookmarkStart w:id="258" w:name="_Toc152045791"/>
      <w:bookmarkStart w:id="259" w:name="_Toc179632811"/>
    </w:p>
    <w:p>
      <w:pPr>
        <w:pStyle w:val="6"/>
        <w:jc w:val="center"/>
        <w:rPr>
          <w:szCs w:val="20"/>
        </w:rPr>
      </w:pPr>
      <w:r>
        <w:rPr>
          <w:szCs w:val="20"/>
        </w:rPr>
        <w:t>2</w:t>
      </w:r>
      <w:r>
        <w:rPr>
          <w:rFonts w:hAnsi="宋体"/>
          <w:szCs w:val="20"/>
        </w:rPr>
        <w:t>、投标人基本情况表</w:t>
      </w:r>
    </w:p>
    <w:p>
      <w:pPr>
        <w:tabs>
          <w:tab w:val="left" w:pos="482"/>
          <w:tab w:val="left" w:pos="2183"/>
          <w:tab w:val="left" w:pos="3884"/>
          <w:tab w:val="left" w:pos="5585"/>
        </w:tabs>
        <w:spacing w:line="400" w:lineRule="exact"/>
        <w:rPr>
          <w:rFonts w:ascii="宋体" w:hAnsi="宋体"/>
          <w:b/>
          <w:sz w:val="22"/>
        </w:rPr>
      </w:pPr>
      <w:r>
        <w:rPr>
          <w:rFonts w:hint="eastAsia" w:ascii="宋体" w:hAnsi="宋体"/>
          <w:b/>
          <w:sz w:val="22"/>
        </w:rPr>
        <w:t>1. 名称及概况：</w:t>
      </w:r>
    </w:p>
    <w:p>
      <w:pPr>
        <w:tabs>
          <w:tab w:val="left" w:pos="482"/>
          <w:tab w:val="left" w:pos="2183"/>
          <w:tab w:val="left" w:pos="3884"/>
          <w:tab w:val="left" w:pos="5585"/>
        </w:tabs>
        <w:spacing w:line="400" w:lineRule="exact"/>
        <w:rPr>
          <w:rFonts w:ascii="宋体" w:hAnsi="宋体"/>
          <w:sz w:val="22"/>
        </w:rPr>
      </w:pPr>
      <w:r>
        <w:rPr>
          <w:rFonts w:hint="eastAsia" w:ascii="宋体" w:hAnsi="宋体"/>
          <w:sz w:val="22"/>
        </w:rPr>
        <w:t>（1）投标人名称：</w:t>
      </w:r>
      <w:r>
        <w:rPr>
          <w:rFonts w:hint="eastAsia" w:ascii="宋体" w:hAnsi="宋体"/>
          <w:sz w:val="22"/>
          <w:u w:val="single"/>
        </w:rPr>
        <w:t xml:space="preserve">                           </w:t>
      </w:r>
    </w:p>
    <w:p>
      <w:pPr>
        <w:tabs>
          <w:tab w:val="left" w:pos="482"/>
          <w:tab w:val="left" w:pos="2183"/>
          <w:tab w:val="left" w:pos="3884"/>
          <w:tab w:val="left" w:pos="5585"/>
        </w:tabs>
        <w:spacing w:line="400" w:lineRule="exact"/>
        <w:rPr>
          <w:rFonts w:ascii="宋体" w:hAnsi="宋体"/>
          <w:sz w:val="22"/>
        </w:rPr>
      </w:pPr>
      <w:r>
        <w:rPr>
          <w:rFonts w:hint="eastAsia" w:ascii="宋体" w:hAnsi="宋体"/>
          <w:sz w:val="22"/>
        </w:rPr>
        <w:t>（2）总部地址：</w:t>
      </w:r>
      <w:r>
        <w:rPr>
          <w:rFonts w:hint="eastAsia" w:ascii="宋体" w:hAnsi="宋体"/>
          <w:sz w:val="22"/>
          <w:u w:val="single"/>
        </w:rPr>
        <w:t xml:space="preserve">                             </w:t>
      </w:r>
    </w:p>
    <w:p>
      <w:pPr>
        <w:tabs>
          <w:tab w:val="left" w:pos="482"/>
          <w:tab w:val="left" w:pos="2183"/>
          <w:tab w:val="left" w:pos="3884"/>
          <w:tab w:val="left" w:pos="5585"/>
        </w:tabs>
        <w:spacing w:line="400" w:lineRule="exact"/>
        <w:ind w:firstLine="600"/>
        <w:rPr>
          <w:rFonts w:ascii="宋体" w:hAnsi="宋体"/>
          <w:sz w:val="22"/>
        </w:rPr>
      </w:pPr>
      <w:r>
        <w:rPr>
          <w:rFonts w:hint="eastAsia" w:ascii="宋体" w:hAnsi="宋体"/>
          <w:sz w:val="22"/>
        </w:rPr>
        <w:t>传真/电话号码：</w:t>
      </w:r>
      <w:r>
        <w:rPr>
          <w:rFonts w:hint="eastAsia" w:ascii="宋体" w:hAnsi="宋体"/>
          <w:sz w:val="22"/>
          <w:u w:val="single"/>
        </w:rPr>
        <w:t xml:space="preserve">                        </w:t>
      </w:r>
    </w:p>
    <w:p>
      <w:pPr>
        <w:tabs>
          <w:tab w:val="left" w:pos="482"/>
          <w:tab w:val="left" w:pos="2183"/>
          <w:tab w:val="left" w:pos="3884"/>
          <w:tab w:val="left" w:pos="5585"/>
        </w:tabs>
        <w:spacing w:line="400" w:lineRule="exact"/>
        <w:rPr>
          <w:rFonts w:ascii="宋体" w:hAnsi="宋体"/>
          <w:sz w:val="22"/>
        </w:rPr>
      </w:pPr>
      <w:r>
        <w:rPr>
          <w:rFonts w:hint="eastAsia" w:ascii="宋体" w:hAnsi="宋体"/>
          <w:sz w:val="22"/>
        </w:rPr>
        <w:t>（3）成立或注册日期：</w:t>
      </w:r>
      <w:r>
        <w:rPr>
          <w:rFonts w:hint="eastAsia" w:ascii="宋体" w:hAnsi="宋体"/>
          <w:sz w:val="22"/>
          <w:u w:val="single"/>
        </w:rPr>
        <w:t xml:space="preserve">                        </w:t>
      </w:r>
    </w:p>
    <w:p>
      <w:pPr>
        <w:tabs>
          <w:tab w:val="left" w:pos="482"/>
          <w:tab w:val="left" w:pos="2183"/>
          <w:tab w:val="left" w:pos="3884"/>
          <w:tab w:val="left" w:pos="5585"/>
        </w:tabs>
        <w:spacing w:line="400" w:lineRule="exact"/>
        <w:rPr>
          <w:rFonts w:ascii="宋体" w:hAnsi="宋体"/>
          <w:sz w:val="22"/>
        </w:rPr>
      </w:pPr>
      <w:r>
        <w:rPr>
          <w:rFonts w:hint="eastAsia" w:ascii="宋体" w:hAnsi="宋体"/>
          <w:sz w:val="22"/>
        </w:rPr>
        <w:t>（4）实收资本：</w:t>
      </w:r>
      <w:r>
        <w:rPr>
          <w:rFonts w:hint="eastAsia" w:ascii="宋体" w:hAnsi="宋体"/>
          <w:sz w:val="22"/>
          <w:u w:val="single"/>
        </w:rPr>
        <w:t xml:space="preserve">                              </w:t>
      </w:r>
    </w:p>
    <w:p>
      <w:pPr>
        <w:tabs>
          <w:tab w:val="left" w:pos="482"/>
          <w:tab w:val="left" w:pos="2183"/>
          <w:tab w:val="left" w:pos="3884"/>
          <w:tab w:val="left" w:pos="5585"/>
        </w:tabs>
        <w:spacing w:line="400" w:lineRule="exact"/>
        <w:rPr>
          <w:rFonts w:ascii="宋体" w:hAnsi="宋体"/>
          <w:sz w:val="22"/>
        </w:rPr>
      </w:pPr>
      <w:r>
        <w:rPr>
          <w:rFonts w:hint="eastAsia" w:ascii="宋体" w:hAnsi="宋体"/>
          <w:sz w:val="22"/>
        </w:rPr>
        <w:t>（5）近期资产负债表（到</w:t>
      </w:r>
      <w:r>
        <w:rPr>
          <w:rFonts w:hint="eastAsia" w:ascii="宋体" w:hAnsi="宋体"/>
          <w:sz w:val="22"/>
          <w:u w:val="single"/>
        </w:rPr>
        <w:t xml:space="preserve">        </w:t>
      </w:r>
      <w:r>
        <w:rPr>
          <w:rFonts w:hint="eastAsia" w:ascii="宋体" w:hAnsi="宋体"/>
          <w:sz w:val="22"/>
        </w:rPr>
        <w:t>年</w:t>
      </w:r>
      <w:r>
        <w:rPr>
          <w:rFonts w:hint="eastAsia" w:ascii="宋体" w:hAnsi="宋体"/>
          <w:sz w:val="22"/>
          <w:u w:val="single"/>
        </w:rPr>
        <w:t xml:space="preserve">    </w:t>
      </w:r>
      <w:r>
        <w:rPr>
          <w:rFonts w:hint="eastAsia" w:ascii="宋体" w:hAnsi="宋体"/>
          <w:sz w:val="22"/>
        </w:rPr>
        <w:t>月</w:t>
      </w:r>
      <w:r>
        <w:rPr>
          <w:rFonts w:hint="eastAsia" w:ascii="宋体" w:hAnsi="宋体"/>
          <w:sz w:val="22"/>
          <w:u w:val="single"/>
        </w:rPr>
        <w:t xml:space="preserve">    </w:t>
      </w:r>
      <w:r>
        <w:rPr>
          <w:rFonts w:hint="eastAsia" w:ascii="宋体" w:hAnsi="宋体"/>
          <w:sz w:val="22"/>
        </w:rPr>
        <w:t>日止）</w:t>
      </w:r>
    </w:p>
    <w:p>
      <w:pPr>
        <w:tabs>
          <w:tab w:val="left" w:pos="482"/>
          <w:tab w:val="left" w:pos="2183"/>
          <w:tab w:val="left" w:pos="3884"/>
          <w:tab w:val="left" w:pos="5585"/>
        </w:tabs>
        <w:spacing w:line="400" w:lineRule="exact"/>
        <w:rPr>
          <w:rFonts w:ascii="宋体" w:hAnsi="宋体"/>
          <w:sz w:val="22"/>
        </w:rPr>
      </w:pPr>
      <w:r>
        <w:rPr>
          <w:rFonts w:hint="eastAsia" w:ascii="宋体" w:hAnsi="宋体"/>
          <w:sz w:val="22"/>
        </w:rPr>
        <w:t xml:space="preserve">  1）固定资产：</w:t>
      </w:r>
      <w:r>
        <w:rPr>
          <w:rFonts w:hint="eastAsia" w:ascii="宋体" w:hAnsi="宋体"/>
          <w:sz w:val="22"/>
          <w:u w:val="single"/>
        </w:rPr>
        <w:t xml:space="preserve">               </w:t>
      </w:r>
    </w:p>
    <w:p>
      <w:pPr>
        <w:tabs>
          <w:tab w:val="left" w:pos="482"/>
          <w:tab w:val="left" w:pos="2183"/>
          <w:tab w:val="left" w:pos="3884"/>
          <w:tab w:val="left" w:pos="5585"/>
        </w:tabs>
        <w:spacing w:line="400" w:lineRule="exact"/>
        <w:rPr>
          <w:rFonts w:ascii="宋体" w:hAnsi="宋体"/>
          <w:sz w:val="22"/>
        </w:rPr>
      </w:pPr>
      <w:r>
        <w:rPr>
          <w:rFonts w:hint="eastAsia" w:ascii="宋体" w:hAnsi="宋体"/>
          <w:sz w:val="22"/>
        </w:rPr>
        <w:t xml:space="preserve">  2）流动资产：</w:t>
      </w:r>
      <w:r>
        <w:rPr>
          <w:rFonts w:hint="eastAsia" w:ascii="宋体" w:hAnsi="宋体"/>
          <w:sz w:val="22"/>
          <w:u w:val="single"/>
        </w:rPr>
        <w:t xml:space="preserve">               </w:t>
      </w:r>
    </w:p>
    <w:p>
      <w:pPr>
        <w:tabs>
          <w:tab w:val="left" w:pos="482"/>
          <w:tab w:val="left" w:pos="2183"/>
          <w:tab w:val="left" w:pos="3884"/>
          <w:tab w:val="left" w:pos="5585"/>
        </w:tabs>
        <w:spacing w:line="400" w:lineRule="exact"/>
        <w:rPr>
          <w:rFonts w:ascii="宋体" w:hAnsi="宋体"/>
          <w:sz w:val="22"/>
        </w:rPr>
      </w:pPr>
      <w:r>
        <w:rPr>
          <w:rFonts w:hint="eastAsia" w:ascii="宋体" w:hAnsi="宋体"/>
          <w:sz w:val="22"/>
        </w:rPr>
        <w:t xml:space="preserve">  3）长期负债：</w:t>
      </w:r>
      <w:r>
        <w:rPr>
          <w:rFonts w:hint="eastAsia" w:ascii="宋体" w:hAnsi="宋体"/>
          <w:sz w:val="22"/>
          <w:u w:val="single"/>
        </w:rPr>
        <w:t xml:space="preserve">               </w:t>
      </w:r>
    </w:p>
    <w:p>
      <w:pPr>
        <w:tabs>
          <w:tab w:val="left" w:pos="482"/>
          <w:tab w:val="left" w:pos="2183"/>
          <w:tab w:val="left" w:pos="3884"/>
          <w:tab w:val="left" w:pos="5585"/>
        </w:tabs>
        <w:spacing w:line="400" w:lineRule="exact"/>
        <w:rPr>
          <w:rFonts w:ascii="宋体" w:hAnsi="宋体"/>
          <w:sz w:val="22"/>
        </w:rPr>
      </w:pPr>
      <w:r>
        <w:rPr>
          <w:rFonts w:hint="eastAsia" w:ascii="宋体" w:hAnsi="宋体"/>
          <w:sz w:val="22"/>
        </w:rPr>
        <w:t xml:space="preserve">  4）流动负债：</w:t>
      </w:r>
      <w:r>
        <w:rPr>
          <w:rFonts w:hint="eastAsia" w:ascii="宋体" w:hAnsi="宋体"/>
          <w:sz w:val="22"/>
          <w:u w:val="single"/>
        </w:rPr>
        <w:t xml:space="preserve">               </w:t>
      </w:r>
    </w:p>
    <w:p>
      <w:pPr>
        <w:tabs>
          <w:tab w:val="left" w:pos="482"/>
          <w:tab w:val="left" w:pos="2183"/>
          <w:tab w:val="left" w:pos="3884"/>
          <w:tab w:val="left" w:pos="5585"/>
        </w:tabs>
        <w:spacing w:line="400" w:lineRule="exact"/>
        <w:rPr>
          <w:rFonts w:ascii="宋体" w:hAnsi="宋体"/>
          <w:sz w:val="22"/>
        </w:rPr>
      </w:pPr>
      <w:r>
        <w:rPr>
          <w:rFonts w:hint="eastAsia" w:ascii="宋体" w:hAnsi="宋体"/>
          <w:sz w:val="22"/>
        </w:rPr>
        <w:t xml:space="preserve">  5）净值：</w:t>
      </w:r>
      <w:r>
        <w:rPr>
          <w:rFonts w:hint="eastAsia" w:ascii="宋体" w:hAnsi="宋体"/>
          <w:sz w:val="22"/>
          <w:u w:val="single"/>
        </w:rPr>
        <w:t xml:space="preserve">                   </w:t>
      </w:r>
    </w:p>
    <w:p>
      <w:pPr>
        <w:tabs>
          <w:tab w:val="left" w:pos="482"/>
          <w:tab w:val="left" w:pos="2183"/>
          <w:tab w:val="left" w:pos="3884"/>
          <w:tab w:val="left" w:pos="5585"/>
        </w:tabs>
        <w:spacing w:line="400" w:lineRule="exact"/>
        <w:rPr>
          <w:rFonts w:ascii="宋体" w:hAnsi="宋体"/>
          <w:sz w:val="22"/>
          <w:u w:val="single"/>
        </w:rPr>
      </w:pPr>
      <w:r>
        <w:rPr>
          <w:rFonts w:hint="eastAsia" w:ascii="宋体" w:hAnsi="宋体"/>
          <w:sz w:val="22"/>
        </w:rPr>
        <w:t>（6）主要负责人姓名：</w:t>
      </w:r>
      <w:r>
        <w:rPr>
          <w:rFonts w:hint="eastAsia" w:ascii="宋体" w:hAnsi="宋体"/>
          <w:sz w:val="22"/>
          <w:u w:val="single"/>
        </w:rPr>
        <w:t xml:space="preserve">                      </w:t>
      </w:r>
    </w:p>
    <w:p>
      <w:pPr>
        <w:tabs>
          <w:tab w:val="left" w:pos="482"/>
          <w:tab w:val="left" w:pos="2183"/>
          <w:tab w:val="left" w:pos="3884"/>
          <w:tab w:val="left" w:pos="5585"/>
        </w:tabs>
        <w:spacing w:line="400" w:lineRule="exact"/>
        <w:rPr>
          <w:rFonts w:ascii="宋体" w:hAnsi="宋体"/>
          <w:sz w:val="22"/>
        </w:rPr>
      </w:pPr>
    </w:p>
    <w:p>
      <w:pPr>
        <w:tabs>
          <w:tab w:val="left" w:pos="482"/>
          <w:tab w:val="left" w:pos="2183"/>
          <w:tab w:val="left" w:pos="3884"/>
          <w:tab w:val="left" w:pos="5585"/>
        </w:tabs>
        <w:spacing w:line="360" w:lineRule="exact"/>
        <w:ind w:left="663" w:hanging="663" w:hangingChars="300"/>
        <w:jc w:val="left"/>
        <w:rPr>
          <w:rFonts w:ascii="宋体" w:hAnsi="宋体"/>
          <w:b/>
          <w:sz w:val="22"/>
        </w:rPr>
      </w:pPr>
      <w:r>
        <w:rPr>
          <w:rFonts w:hint="eastAsia" w:ascii="宋体" w:hAnsi="宋体"/>
          <w:b/>
          <w:sz w:val="22"/>
        </w:rPr>
        <w:t>2．企业生产设备及规模：</w:t>
      </w:r>
    </w:p>
    <w:p>
      <w:pPr>
        <w:tabs>
          <w:tab w:val="left" w:pos="482"/>
          <w:tab w:val="left" w:pos="2183"/>
          <w:tab w:val="left" w:pos="3884"/>
          <w:tab w:val="left" w:pos="5585"/>
        </w:tabs>
        <w:spacing w:line="360" w:lineRule="exact"/>
        <w:ind w:left="663" w:hanging="663" w:hangingChars="300"/>
        <w:jc w:val="left"/>
        <w:rPr>
          <w:rFonts w:ascii="宋体" w:hAnsi="宋体"/>
          <w:b/>
          <w:sz w:val="22"/>
        </w:rPr>
      </w:pPr>
    </w:p>
    <w:p>
      <w:pPr>
        <w:tabs>
          <w:tab w:val="left" w:pos="482"/>
          <w:tab w:val="left" w:pos="2183"/>
          <w:tab w:val="left" w:pos="3884"/>
          <w:tab w:val="left" w:pos="5585"/>
        </w:tabs>
        <w:spacing w:line="360" w:lineRule="exact"/>
        <w:ind w:left="663" w:hanging="663" w:hangingChars="300"/>
        <w:jc w:val="left"/>
        <w:rPr>
          <w:rFonts w:ascii="宋体" w:hAnsi="宋体"/>
          <w:b/>
          <w:sz w:val="22"/>
        </w:rPr>
      </w:pPr>
      <w:r>
        <w:rPr>
          <w:rFonts w:hint="eastAsia" w:ascii="宋体" w:hAnsi="宋体"/>
          <w:b/>
          <w:sz w:val="22"/>
        </w:rPr>
        <w:t>3. 企业人员情况：</w:t>
      </w:r>
    </w:p>
    <w:p>
      <w:pPr>
        <w:tabs>
          <w:tab w:val="left" w:pos="482"/>
          <w:tab w:val="left" w:pos="2183"/>
          <w:tab w:val="left" w:pos="3884"/>
          <w:tab w:val="left" w:pos="5585"/>
        </w:tabs>
        <w:spacing w:line="400" w:lineRule="exact"/>
        <w:rPr>
          <w:rFonts w:ascii="宋体" w:hAnsi="宋体"/>
          <w:sz w:val="22"/>
        </w:rPr>
      </w:pPr>
      <w:r>
        <w:rPr>
          <w:rFonts w:hint="eastAsia" w:ascii="宋体" w:hAnsi="宋体"/>
          <w:sz w:val="22"/>
        </w:rPr>
        <w:t>职工（在职）人数</w:t>
      </w:r>
      <w:r>
        <w:rPr>
          <w:rFonts w:hint="eastAsia" w:ascii="宋体" w:hAnsi="宋体"/>
          <w:sz w:val="22"/>
          <w:u w:val="single"/>
        </w:rPr>
        <w:t xml:space="preserve">       </w:t>
      </w:r>
      <w:r>
        <w:rPr>
          <w:rFonts w:hint="eastAsia" w:ascii="宋体" w:hAnsi="宋体"/>
          <w:sz w:val="22"/>
        </w:rPr>
        <w:t>人，其中技术人员</w:t>
      </w:r>
      <w:r>
        <w:rPr>
          <w:rFonts w:hint="eastAsia" w:ascii="宋体" w:hAnsi="宋体"/>
          <w:sz w:val="22"/>
          <w:u w:val="single"/>
        </w:rPr>
        <w:t xml:space="preserve">       </w:t>
      </w:r>
      <w:r>
        <w:rPr>
          <w:rFonts w:hint="eastAsia" w:ascii="宋体" w:hAnsi="宋体"/>
          <w:sz w:val="22"/>
        </w:rPr>
        <w:t>人，</w:t>
      </w:r>
    </w:p>
    <w:p>
      <w:pPr>
        <w:tabs>
          <w:tab w:val="left" w:pos="482"/>
          <w:tab w:val="left" w:pos="2183"/>
          <w:tab w:val="left" w:pos="3884"/>
          <w:tab w:val="left" w:pos="5585"/>
        </w:tabs>
        <w:spacing w:line="400" w:lineRule="exact"/>
        <w:rPr>
          <w:rFonts w:ascii="宋体" w:hAnsi="宋体"/>
          <w:sz w:val="22"/>
        </w:rPr>
      </w:pPr>
    </w:p>
    <w:p>
      <w:pPr>
        <w:tabs>
          <w:tab w:val="left" w:pos="482"/>
          <w:tab w:val="left" w:pos="2183"/>
          <w:tab w:val="left" w:pos="3884"/>
          <w:tab w:val="left" w:pos="5585"/>
        </w:tabs>
        <w:spacing w:line="360" w:lineRule="exact"/>
        <w:ind w:left="663" w:hanging="663" w:hangingChars="300"/>
        <w:jc w:val="left"/>
        <w:rPr>
          <w:rFonts w:ascii="宋体" w:hAnsi="宋体"/>
          <w:sz w:val="22"/>
        </w:rPr>
      </w:pPr>
      <w:r>
        <w:rPr>
          <w:rFonts w:hint="eastAsia" w:ascii="宋体" w:hAnsi="宋体"/>
          <w:b/>
          <w:sz w:val="22"/>
        </w:rPr>
        <w:t>4. 近三年的年营业总额</w:t>
      </w:r>
      <w:r>
        <w:rPr>
          <w:rFonts w:hint="eastAsia" w:ascii="宋体" w:hAnsi="宋体"/>
          <w:b/>
          <w:sz w:val="22"/>
          <w:u w:val="single"/>
        </w:rPr>
        <w:t xml:space="preserve">                       </w:t>
      </w:r>
    </w:p>
    <w:p>
      <w:pPr>
        <w:tabs>
          <w:tab w:val="left" w:pos="482"/>
          <w:tab w:val="left" w:pos="2183"/>
          <w:tab w:val="left" w:pos="3884"/>
          <w:tab w:val="left" w:pos="5585"/>
        </w:tabs>
        <w:spacing w:line="400" w:lineRule="exact"/>
        <w:rPr>
          <w:rFonts w:ascii="宋体" w:hAnsi="宋体"/>
          <w:sz w:val="22"/>
        </w:rPr>
      </w:pPr>
    </w:p>
    <w:p>
      <w:pPr>
        <w:tabs>
          <w:tab w:val="left" w:pos="482"/>
          <w:tab w:val="left" w:pos="2183"/>
          <w:tab w:val="left" w:pos="3884"/>
          <w:tab w:val="left" w:pos="5585"/>
        </w:tabs>
        <w:spacing w:line="400" w:lineRule="exact"/>
        <w:ind w:firstLine="220" w:firstLineChars="100"/>
        <w:rPr>
          <w:rFonts w:ascii="宋体" w:hAnsi="宋体"/>
          <w:sz w:val="22"/>
        </w:rPr>
      </w:pPr>
      <w:r>
        <w:rPr>
          <w:rFonts w:hint="eastAsia" w:ascii="宋体" w:hAnsi="宋体"/>
          <w:sz w:val="22"/>
        </w:rPr>
        <w:t>兹证明上述声明是真实、正确的、并提供了全部能提供的资料和数据，我们同意遵照贵方要求出示有关证明文件。</w:t>
      </w:r>
    </w:p>
    <w:p>
      <w:pPr>
        <w:tabs>
          <w:tab w:val="left" w:pos="482"/>
          <w:tab w:val="left" w:pos="2183"/>
          <w:tab w:val="left" w:pos="3884"/>
          <w:tab w:val="left" w:pos="5585"/>
        </w:tabs>
        <w:spacing w:line="400" w:lineRule="exact"/>
        <w:rPr>
          <w:rFonts w:ascii="宋体" w:hAnsi="宋体"/>
          <w:sz w:val="22"/>
        </w:rPr>
      </w:pPr>
    </w:p>
    <w:p>
      <w:pPr>
        <w:tabs>
          <w:tab w:val="left" w:pos="482"/>
          <w:tab w:val="left" w:pos="2183"/>
          <w:tab w:val="left" w:pos="3884"/>
          <w:tab w:val="left" w:pos="5585"/>
        </w:tabs>
        <w:spacing w:line="400" w:lineRule="exact"/>
        <w:rPr>
          <w:rFonts w:ascii="宋体" w:hAnsi="宋体"/>
          <w:sz w:val="22"/>
        </w:rPr>
      </w:pPr>
      <w:r>
        <w:rPr>
          <w:rFonts w:hint="eastAsia" w:ascii="宋体" w:hAnsi="宋体"/>
          <w:sz w:val="22"/>
        </w:rPr>
        <w:t>投标人名称</w:t>
      </w:r>
      <w:r>
        <w:rPr>
          <w:rFonts w:hint="eastAsia" w:ascii="宋体" w:hAnsi="宋体"/>
          <w:sz w:val="22"/>
          <w:u w:val="single"/>
        </w:rPr>
        <w:t xml:space="preserve">                               </w:t>
      </w:r>
    </w:p>
    <w:p>
      <w:pPr>
        <w:tabs>
          <w:tab w:val="left" w:pos="482"/>
          <w:tab w:val="left" w:pos="2183"/>
          <w:tab w:val="left" w:pos="3884"/>
          <w:tab w:val="left" w:pos="5585"/>
        </w:tabs>
        <w:spacing w:line="400" w:lineRule="exact"/>
        <w:rPr>
          <w:rFonts w:ascii="宋体" w:hAnsi="宋体"/>
          <w:sz w:val="22"/>
        </w:rPr>
      </w:pPr>
      <w:r>
        <w:rPr>
          <w:rFonts w:hint="eastAsia" w:ascii="宋体" w:hAnsi="宋体"/>
          <w:sz w:val="22"/>
        </w:rPr>
        <w:t>法定代表人姓名和职务</w:t>
      </w:r>
      <w:r>
        <w:rPr>
          <w:rFonts w:hint="eastAsia" w:ascii="宋体" w:hAnsi="宋体"/>
          <w:sz w:val="22"/>
          <w:u w:val="single"/>
        </w:rPr>
        <w:t xml:space="preserve">                     </w:t>
      </w:r>
    </w:p>
    <w:p>
      <w:pPr>
        <w:tabs>
          <w:tab w:val="left" w:pos="482"/>
          <w:tab w:val="left" w:pos="2183"/>
          <w:tab w:val="left" w:pos="3884"/>
          <w:tab w:val="left" w:pos="5585"/>
        </w:tabs>
        <w:spacing w:line="400" w:lineRule="exact"/>
        <w:rPr>
          <w:rFonts w:ascii="宋体" w:hAnsi="宋体"/>
          <w:sz w:val="22"/>
        </w:rPr>
      </w:pPr>
      <w:r>
        <w:rPr>
          <w:rFonts w:hint="eastAsia" w:ascii="宋体" w:hAnsi="宋体"/>
          <w:sz w:val="22"/>
        </w:rPr>
        <w:t>授权代表人签字</w:t>
      </w:r>
      <w:r>
        <w:rPr>
          <w:rFonts w:hint="eastAsia" w:ascii="宋体" w:hAnsi="宋体"/>
          <w:sz w:val="22"/>
          <w:u w:val="single"/>
        </w:rPr>
        <w:t xml:space="preserve">                           </w:t>
      </w:r>
    </w:p>
    <w:p>
      <w:pPr>
        <w:tabs>
          <w:tab w:val="left" w:pos="482"/>
          <w:tab w:val="left" w:pos="2183"/>
          <w:tab w:val="left" w:pos="3884"/>
          <w:tab w:val="left" w:pos="5585"/>
        </w:tabs>
        <w:spacing w:line="400" w:lineRule="exact"/>
        <w:rPr>
          <w:rFonts w:ascii="宋体" w:hAnsi="宋体"/>
          <w:sz w:val="22"/>
        </w:rPr>
      </w:pPr>
      <w:r>
        <w:rPr>
          <w:rFonts w:hint="eastAsia" w:ascii="宋体" w:hAnsi="宋体"/>
          <w:sz w:val="22"/>
        </w:rPr>
        <w:t>签字日期</w:t>
      </w:r>
      <w:r>
        <w:rPr>
          <w:rFonts w:hint="eastAsia" w:ascii="宋体" w:hAnsi="宋体"/>
          <w:sz w:val="22"/>
          <w:u w:val="single"/>
        </w:rPr>
        <w:t xml:space="preserve">                                 </w:t>
      </w:r>
    </w:p>
    <w:p>
      <w:pPr>
        <w:tabs>
          <w:tab w:val="left" w:pos="482"/>
          <w:tab w:val="left" w:pos="2183"/>
          <w:tab w:val="left" w:pos="3884"/>
          <w:tab w:val="left" w:pos="5585"/>
        </w:tabs>
        <w:spacing w:line="360" w:lineRule="exact"/>
        <w:jc w:val="left"/>
        <w:rPr>
          <w:rFonts w:ascii="宋体" w:hAnsi="宋体"/>
          <w:sz w:val="22"/>
          <w:u w:val="single"/>
        </w:rPr>
      </w:pPr>
      <w:r>
        <w:rPr>
          <w:rFonts w:hint="eastAsia" w:ascii="宋体" w:hAnsi="宋体"/>
          <w:sz w:val="22"/>
        </w:rPr>
        <w:t>电子邮件</w:t>
      </w:r>
      <w:r>
        <w:rPr>
          <w:rFonts w:hint="eastAsia" w:ascii="宋体" w:hAnsi="宋体"/>
          <w:sz w:val="22"/>
          <w:u w:val="single"/>
        </w:rPr>
        <w:t xml:space="preserve">                                 </w:t>
      </w:r>
    </w:p>
    <w:p>
      <w:pPr>
        <w:tabs>
          <w:tab w:val="left" w:pos="482"/>
          <w:tab w:val="left" w:pos="2183"/>
          <w:tab w:val="left" w:pos="3884"/>
          <w:tab w:val="left" w:pos="5585"/>
        </w:tabs>
        <w:jc w:val="center"/>
        <w:rPr>
          <w:szCs w:val="21"/>
        </w:rPr>
      </w:pPr>
    </w:p>
    <w:p>
      <w:pPr>
        <w:widowControl/>
        <w:tabs>
          <w:tab w:val="left" w:pos="482"/>
          <w:tab w:val="left" w:pos="2183"/>
          <w:tab w:val="left" w:pos="3884"/>
          <w:tab w:val="left" w:pos="5585"/>
        </w:tabs>
        <w:spacing w:before="100" w:beforeAutospacing="1" w:after="100" w:afterAutospacing="1" w:line="400" w:lineRule="exact"/>
        <w:jc w:val="left"/>
        <w:rPr>
          <w:sz w:val="22"/>
          <w:szCs w:val="22"/>
        </w:rPr>
      </w:pPr>
    </w:p>
    <w:bookmarkEnd w:id="256"/>
    <w:bookmarkEnd w:id="257"/>
    <w:bookmarkEnd w:id="258"/>
    <w:bookmarkEnd w:id="259"/>
    <w:p>
      <w:pPr>
        <w:pStyle w:val="6"/>
        <w:jc w:val="center"/>
        <w:rPr>
          <w:rFonts w:hAnsi="宋体"/>
        </w:rPr>
      </w:pPr>
      <w:bookmarkStart w:id="260" w:name="_Toc275460543"/>
      <w:bookmarkStart w:id="261" w:name="_Toc250373607"/>
      <w:bookmarkStart w:id="262" w:name="_Toc276483251"/>
      <w:r>
        <w:br w:type="page"/>
      </w:r>
      <w:bookmarkEnd w:id="260"/>
      <w:bookmarkEnd w:id="261"/>
      <w:bookmarkEnd w:id="262"/>
      <w:bookmarkStart w:id="263" w:name="_Toc276483253"/>
      <w:bookmarkStart w:id="264" w:name="_Toc275460545"/>
      <w:r>
        <w:rPr>
          <w:rFonts w:hint="eastAsia" w:hAnsi="宋体"/>
        </w:rPr>
        <w:t>3</w:t>
      </w:r>
      <w:r>
        <w:rPr>
          <w:rFonts w:hAnsi="宋体"/>
        </w:rPr>
        <w:t>、投标材料设备品牌选用表</w:t>
      </w:r>
    </w:p>
    <w:tbl>
      <w:tblPr>
        <w:tblStyle w:val="32"/>
        <w:tblW w:w="8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3569"/>
        <w:gridCol w:w="2079"/>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97" w:type="dxa"/>
            <w:vAlign w:val="center"/>
          </w:tcPr>
          <w:p>
            <w:pPr>
              <w:tabs>
                <w:tab w:val="left" w:pos="482"/>
                <w:tab w:val="left" w:pos="2183"/>
                <w:tab w:val="left" w:pos="3884"/>
                <w:tab w:val="left" w:pos="5585"/>
              </w:tabs>
              <w:spacing w:line="280" w:lineRule="exact"/>
              <w:jc w:val="center"/>
              <w:rPr>
                <w:rFonts w:ascii="宋体" w:hAnsi="宋体"/>
                <w:bCs/>
                <w:color w:val="000000"/>
              </w:rPr>
            </w:pPr>
            <w:r>
              <w:rPr>
                <w:rFonts w:hint="eastAsia" w:ascii="宋体" w:hAnsi="宋体"/>
                <w:bCs/>
                <w:color w:val="000000"/>
              </w:rPr>
              <w:t>序号</w:t>
            </w:r>
          </w:p>
        </w:tc>
        <w:tc>
          <w:tcPr>
            <w:tcW w:w="3569" w:type="dxa"/>
            <w:vAlign w:val="center"/>
          </w:tcPr>
          <w:p>
            <w:pPr>
              <w:tabs>
                <w:tab w:val="left" w:pos="482"/>
                <w:tab w:val="left" w:pos="2183"/>
                <w:tab w:val="left" w:pos="3884"/>
                <w:tab w:val="left" w:pos="5585"/>
              </w:tabs>
              <w:spacing w:line="280" w:lineRule="exact"/>
              <w:ind w:right="277" w:rightChars="132"/>
              <w:jc w:val="center"/>
              <w:rPr>
                <w:rFonts w:ascii="宋体" w:hAnsi="宋体"/>
                <w:bCs/>
                <w:color w:val="000000"/>
              </w:rPr>
            </w:pPr>
            <w:r>
              <w:rPr>
                <w:rFonts w:hint="eastAsia" w:ascii="宋体" w:hAnsi="宋体"/>
                <w:bCs/>
                <w:color w:val="000000"/>
              </w:rPr>
              <w:t>产品名称</w:t>
            </w:r>
          </w:p>
        </w:tc>
        <w:tc>
          <w:tcPr>
            <w:tcW w:w="2079" w:type="dxa"/>
            <w:vAlign w:val="center"/>
          </w:tcPr>
          <w:p>
            <w:pPr>
              <w:tabs>
                <w:tab w:val="left" w:pos="482"/>
                <w:tab w:val="left" w:pos="2183"/>
                <w:tab w:val="left" w:pos="3884"/>
                <w:tab w:val="left" w:pos="5585"/>
              </w:tabs>
              <w:spacing w:line="280" w:lineRule="exact"/>
              <w:ind w:right="277" w:rightChars="132"/>
              <w:jc w:val="center"/>
              <w:rPr>
                <w:rFonts w:ascii="宋体" w:hAnsi="宋体"/>
                <w:bCs/>
                <w:color w:val="000000"/>
              </w:rPr>
            </w:pPr>
            <w:r>
              <w:rPr>
                <w:rFonts w:hint="eastAsia" w:ascii="宋体" w:hAnsi="宋体"/>
                <w:bCs/>
                <w:color w:val="000000"/>
              </w:rPr>
              <w:t>投标材料、设备品牌名称</w:t>
            </w:r>
          </w:p>
        </w:tc>
        <w:tc>
          <w:tcPr>
            <w:tcW w:w="2310" w:type="dxa"/>
            <w:vAlign w:val="center"/>
          </w:tcPr>
          <w:p>
            <w:pPr>
              <w:tabs>
                <w:tab w:val="left" w:pos="482"/>
                <w:tab w:val="left" w:pos="2183"/>
                <w:tab w:val="left" w:pos="3884"/>
                <w:tab w:val="left" w:pos="5585"/>
              </w:tabs>
              <w:spacing w:line="280" w:lineRule="exact"/>
              <w:ind w:right="277" w:rightChars="132"/>
              <w:jc w:val="center"/>
              <w:rPr>
                <w:rFonts w:ascii="宋体" w:hAnsi="宋体"/>
                <w:bCs/>
                <w:color w:val="000000"/>
              </w:rPr>
            </w:pPr>
            <w:r>
              <w:rPr>
                <w:rFonts w:hint="eastAsia" w:ascii="宋体" w:hAnsi="宋体"/>
                <w:bCs/>
                <w:color w:val="000000"/>
              </w:rPr>
              <w:t>型号、规格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97" w:type="dxa"/>
            <w:vAlign w:val="center"/>
          </w:tcPr>
          <w:p>
            <w:pPr>
              <w:widowControl/>
              <w:tabs>
                <w:tab w:val="left" w:pos="482"/>
                <w:tab w:val="left" w:pos="2183"/>
                <w:tab w:val="left" w:pos="3884"/>
                <w:tab w:val="left" w:pos="5585"/>
              </w:tabs>
              <w:jc w:val="center"/>
              <w:rPr>
                <w:rFonts w:ascii="Arial" w:hAnsi="Arial" w:cs="Arial"/>
                <w:color w:val="000000"/>
                <w:sz w:val="20"/>
              </w:rPr>
            </w:pPr>
            <w:r>
              <w:rPr>
                <w:rFonts w:hint="eastAsia" w:ascii="Arial" w:hAnsi="Arial" w:cs="Arial"/>
                <w:color w:val="000000"/>
                <w:sz w:val="20"/>
              </w:rPr>
              <w:t>1</w:t>
            </w:r>
          </w:p>
        </w:tc>
        <w:tc>
          <w:tcPr>
            <w:tcW w:w="3569" w:type="dxa"/>
          </w:tcPr>
          <w:p>
            <w:pPr>
              <w:tabs>
                <w:tab w:val="left" w:pos="482"/>
                <w:tab w:val="left" w:pos="2183"/>
                <w:tab w:val="left" w:pos="3884"/>
                <w:tab w:val="left" w:pos="5585"/>
              </w:tabs>
              <w:snapToGrid w:val="0"/>
              <w:spacing w:line="380" w:lineRule="exact"/>
              <w:rPr>
                <w:rFonts w:ascii="宋体" w:hAnsi="宋体" w:cs="宋体"/>
                <w:szCs w:val="21"/>
              </w:rPr>
            </w:pPr>
            <w:r>
              <w:rPr>
                <w:rFonts w:ascii="宋体" w:hAnsi="宋体" w:cs="宋体"/>
                <w:szCs w:val="21"/>
              </w:rPr>
              <w:t>……</w:t>
            </w:r>
          </w:p>
        </w:tc>
        <w:tc>
          <w:tcPr>
            <w:tcW w:w="2079" w:type="dxa"/>
            <w:vAlign w:val="center"/>
          </w:tcPr>
          <w:p>
            <w:pPr>
              <w:tabs>
                <w:tab w:val="left" w:pos="482"/>
                <w:tab w:val="left" w:pos="2183"/>
                <w:tab w:val="left" w:pos="3884"/>
                <w:tab w:val="left" w:pos="5585"/>
              </w:tabs>
              <w:jc w:val="center"/>
              <w:rPr>
                <w:rFonts w:ascii="宋体" w:hAnsi="宋体" w:cs="宋体"/>
                <w:color w:val="000000"/>
              </w:rPr>
            </w:pPr>
          </w:p>
        </w:tc>
        <w:tc>
          <w:tcPr>
            <w:tcW w:w="2310" w:type="dxa"/>
            <w:vAlign w:val="center"/>
          </w:tcPr>
          <w:p>
            <w:pPr>
              <w:widowControl/>
              <w:tabs>
                <w:tab w:val="left" w:pos="482"/>
                <w:tab w:val="left" w:pos="2183"/>
                <w:tab w:val="left" w:pos="3884"/>
                <w:tab w:val="left" w:pos="5585"/>
              </w:tabs>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97" w:type="dxa"/>
            <w:vAlign w:val="center"/>
          </w:tcPr>
          <w:p>
            <w:pPr>
              <w:widowControl/>
              <w:tabs>
                <w:tab w:val="left" w:pos="482"/>
                <w:tab w:val="left" w:pos="2183"/>
                <w:tab w:val="left" w:pos="3884"/>
                <w:tab w:val="left" w:pos="5585"/>
              </w:tabs>
              <w:jc w:val="center"/>
              <w:rPr>
                <w:rFonts w:ascii="Arial" w:hAnsi="Arial" w:cs="Arial"/>
                <w:color w:val="000000"/>
                <w:sz w:val="20"/>
              </w:rPr>
            </w:pPr>
          </w:p>
        </w:tc>
        <w:tc>
          <w:tcPr>
            <w:tcW w:w="3569" w:type="dxa"/>
          </w:tcPr>
          <w:p>
            <w:pPr>
              <w:tabs>
                <w:tab w:val="left" w:pos="482"/>
                <w:tab w:val="left" w:pos="2183"/>
                <w:tab w:val="left" w:pos="3884"/>
                <w:tab w:val="left" w:pos="5585"/>
              </w:tabs>
              <w:snapToGrid w:val="0"/>
              <w:spacing w:line="380" w:lineRule="exact"/>
              <w:rPr>
                <w:rFonts w:ascii="宋体" w:hAnsi="宋体" w:cs="宋体"/>
                <w:szCs w:val="21"/>
              </w:rPr>
            </w:pPr>
          </w:p>
        </w:tc>
        <w:tc>
          <w:tcPr>
            <w:tcW w:w="2079" w:type="dxa"/>
            <w:vAlign w:val="center"/>
          </w:tcPr>
          <w:p>
            <w:pPr>
              <w:tabs>
                <w:tab w:val="left" w:pos="482"/>
                <w:tab w:val="left" w:pos="2183"/>
                <w:tab w:val="left" w:pos="3884"/>
                <w:tab w:val="left" w:pos="5585"/>
              </w:tabs>
              <w:jc w:val="center"/>
              <w:rPr>
                <w:rFonts w:ascii="宋体" w:hAnsi="宋体" w:cs="宋体"/>
                <w:color w:val="000000"/>
              </w:rPr>
            </w:pPr>
          </w:p>
        </w:tc>
        <w:tc>
          <w:tcPr>
            <w:tcW w:w="2310" w:type="dxa"/>
            <w:vAlign w:val="center"/>
          </w:tcPr>
          <w:p>
            <w:pPr>
              <w:widowControl/>
              <w:tabs>
                <w:tab w:val="left" w:pos="482"/>
                <w:tab w:val="left" w:pos="2183"/>
                <w:tab w:val="left" w:pos="3884"/>
                <w:tab w:val="left" w:pos="5585"/>
              </w:tabs>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97" w:type="dxa"/>
            <w:vAlign w:val="center"/>
          </w:tcPr>
          <w:p>
            <w:pPr>
              <w:widowControl/>
              <w:tabs>
                <w:tab w:val="left" w:pos="482"/>
                <w:tab w:val="left" w:pos="2183"/>
                <w:tab w:val="left" w:pos="3884"/>
                <w:tab w:val="left" w:pos="5585"/>
              </w:tabs>
              <w:jc w:val="center"/>
              <w:rPr>
                <w:rFonts w:ascii="Arial" w:hAnsi="Arial" w:cs="Arial"/>
                <w:color w:val="000000"/>
                <w:sz w:val="20"/>
              </w:rPr>
            </w:pPr>
          </w:p>
        </w:tc>
        <w:tc>
          <w:tcPr>
            <w:tcW w:w="3569" w:type="dxa"/>
          </w:tcPr>
          <w:p>
            <w:pPr>
              <w:tabs>
                <w:tab w:val="left" w:pos="482"/>
                <w:tab w:val="left" w:pos="2183"/>
                <w:tab w:val="left" w:pos="3884"/>
                <w:tab w:val="left" w:pos="5585"/>
              </w:tabs>
              <w:snapToGrid w:val="0"/>
              <w:spacing w:line="380" w:lineRule="exact"/>
              <w:rPr>
                <w:rFonts w:ascii="宋体" w:hAnsi="宋体" w:cs="宋体"/>
                <w:szCs w:val="21"/>
              </w:rPr>
            </w:pPr>
          </w:p>
        </w:tc>
        <w:tc>
          <w:tcPr>
            <w:tcW w:w="2079" w:type="dxa"/>
            <w:vAlign w:val="center"/>
          </w:tcPr>
          <w:p>
            <w:pPr>
              <w:tabs>
                <w:tab w:val="left" w:pos="482"/>
                <w:tab w:val="left" w:pos="2183"/>
                <w:tab w:val="left" w:pos="3884"/>
                <w:tab w:val="left" w:pos="5585"/>
              </w:tabs>
              <w:jc w:val="center"/>
              <w:rPr>
                <w:rFonts w:ascii="宋体" w:hAnsi="宋体" w:cs="宋体"/>
                <w:color w:val="000000"/>
              </w:rPr>
            </w:pPr>
          </w:p>
        </w:tc>
        <w:tc>
          <w:tcPr>
            <w:tcW w:w="2310" w:type="dxa"/>
            <w:vAlign w:val="center"/>
          </w:tcPr>
          <w:p>
            <w:pPr>
              <w:widowControl/>
              <w:tabs>
                <w:tab w:val="left" w:pos="482"/>
                <w:tab w:val="left" w:pos="2183"/>
                <w:tab w:val="left" w:pos="3884"/>
                <w:tab w:val="left" w:pos="5585"/>
              </w:tabs>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97" w:type="dxa"/>
            <w:vAlign w:val="center"/>
          </w:tcPr>
          <w:p>
            <w:pPr>
              <w:widowControl/>
              <w:tabs>
                <w:tab w:val="left" w:pos="482"/>
                <w:tab w:val="left" w:pos="2183"/>
                <w:tab w:val="left" w:pos="3884"/>
                <w:tab w:val="left" w:pos="5585"/>
              </w:tabs>
              <w:jc w:val="center"/>
              <w:rPr>
                <w:rFonts w:ascii="Arial" w:hAnsi="Arial" w:cs="Arial"/>
                <w:color w:val="000000"/>
                <w:sz w:val="20"/>
              </w:rPr>
            </w:pPr>
          </w:p>
        </w:tc>
        <w:tc>
          <w:tcPr>
            <w:tcW w:w="3569" w:type="dxa"/>
          </w:tcPr>
          <w:p>
            <w:pPr>
              <w:tabs>
                <w:tab w:val="left" w:pos="482"/>
                <w:tab w:val="left" w:pos="2183"/>
                <w:tab w:val="left" w:pos="3884"/>
                <w:tab w:val="left" w:pos="5585"/>
              </w:tabs>
              <w:snapToGrid w:val="0"/>
              <w:spacing w:line="380" w:lineRule="exact"/>
              <w:rPr>
                <w:rFonts w:ascii="宋体" w:hAnsi="宋体" w:cs="宋体"/>
                <w:szCs w:val="21"/>
              </w:rPr>
            </w:pPr>
          </w:p>
        </w:tc>
        <w:tc>
          <w:tcPr>
            <w:tcW w:w="2079" w:type="dxa"/>
            <w:vAlign w:val="center"/>
          </w:tcPr>
          <w:p>
            <w:pPr>
              <w:tabs>
                <w:tab w:val="left" w:pos="482"/>
                <w:tab w:val="left" w:pos="2183"/>
                <w:tab w:val="left" w:pos="3884"/>
                <w:tab w:val="left" w:pos="5585"/>
              </w:tabs>
              <w:jc w:val="center"/>
              <w:rPr>
                <w:rFonts w:ascii="宋体" w:hAnsi="宋体" w:cs="宋体"/>
                <w:color w:val="000000"/>
              </w:rPr>
            </w:pPr>
          </w:p>
        </w:tc>
        <w:tc>
          <w:tcPr>
            <w:tcW w:w="2310" w:type="dxa"/>
            <w:vAlign w:val="center"/>
          </w:tcPr>
          <w:p>
            <w:pPr>
              <w:widowControl/>
              <w:tabs>
                <w:tab w:val="left" w:pos="482"/>
                <w:tab w:val="left" w:pos="2183"/>
                <w:tab w:val="left" w:pos="3884"/>
                <w:tab w:val="left" w:pos="5585"/>
              </w:tabs>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9" w:hRule="atLeast"/>
        </w:trPr>
        <w:tc>
          <w:tcPr>
            <w:tcW w:w="697" w:type="dxa"/>
            <w:vAlign w:val="center"/>
          </w:tcPr>
          <w:p>
            <w:pPr>
              <w:widowControl/>
              <w:tabs>
                <w:tab w:val="left" w:pos="482"/>
                <w:tab w:val="left" w:pos="2183"/>
                <w:tab w:val="left" w:pos="3884"/>
                <w:tab w:val="left" w:pos="5585"/>
              </w:tabs>
              <w:jc w:val="center"/>
              <w:rPr>
                <w:rFonts w:ascii="Arial" w:hAnsi="Arial" w:cs="Arial"/>
                <w:color w:val="000000"/>
                <w:sz w:val="20"/>
              </w:rPr>
            </w:pPr>
          </w:p>
        </w:tc>
        <w:tc>
          <w:tcPr>
            <w:tcW w:w="3569" w:type="dxa"/>
          </w:tcPr>
          <w:p>
            <w:pPr>
              <w:tabs>
                <w:tab w:val="left" w:pos="482"/>
                <w:tab w:val="left" w:pos="2183"/>
                <w:tab w:val="left" w:pos="3884"/>
                <w:tab w:val="left" w:pos="5585"/>
              </w:tabs>
              <w:snapToGrid w:val="0"/>
              <w:spacing w:line="380" w:lineRule="exact"/>
              <w:rPr>
                <w:rFonts w:ascii="宋体" w:hAnsi="宋体" w:cs="宋体"/>
                <w:szCs w:val="21"/>
              </w:rPr>
            </w:pPr>
          </w:p>
        </w:tc>
        <w:tc>
          <w:tcPr>
            <w:tcW w:w="2079" w:type="dxa"/>
            <w:vAlign w:val="center"/>
          </w:tcPr>
          <w:p>
            <w:pPr>
              <w:tabs>
                <w:tab w:val="left" w:pos="482"/>
                <w:tab w:val="left" w:pos="2183"/>
                <w:tab w:val="left" w:pos="3884"/>
                <w:tab w:val="left" w:pos="5585"/>
              </w:tabs>
              <w:jc w:val="center"/>
              <w:rPr>
                <w:rFonts w:ascii="宋体" w:hAnsi="宋体" w:cs="宋体"/>
                <w:color w:val="000000"/>
              </w:rPr>
            </w:pPr>
          </w:p>
        </w:tc>
        <w:tc>
          <w:tcPr>
            <w:tcW w:w="2310" w:type="dxa"/>
            <w:vAlign w:val="center"/>
          </w:tcPr>
          <w:p>
            <w:pPr>
              <w:widowControl/>
              <w:tabs>
                <w:tab w:val="left" w:pos="482"/>
                <w:tab w:val="left" w:pos="2183"/>
                <w:tab w:val="left" w:pos="3884"/>
                <w:tab w:val="left" w:pos="5585"/>
              </w:tabs>
              <w:jc w:val="center"/>
              <w:rPr>
                <w:rFonts w:ascii="宋体" w:hAnsi="宋体" w:cs="Arial"/>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97" w:type="dxa"/>
            <w:vAlign w:val="center"/>
          </w:tcPr>
          <w:p>
            <w:pPr>
              <w:widowControl/>
              <w:tabs>
                <w:tab w:val="left" w:pos="482"/>
                <w:tab w:val="left" w:pos="2183"/>
                <w:tab w:val="left" w:pos="3884"/>
                <w:tab w:val="left" w:pos="5585"/>
              </w:tabs>
              <w:jc w:val="center"/>
              <w:rPr>
                <w:rFonts w:ascii="Arial" w:hAnsi="Arial" w:cs="Arial"/>
                <w:color w:val="000000"/>
                <w:sz w:val="20"/>
              </w:rPr>
            </w:pPr>
          </w:p>
        </w:tc>
        <w:tc>
          <w:tcPr>
            <w:tcW w:w="3569" w:type="dxa"/>
          </w:tcPr>
          <w:p>
            <w:pPr>
              <w:tabs>
                <w:tab w:val="left" w:pos="482"/>
                <w:tab w:val="left" w:pos="2183"/>
                <w:tab w:val="left" w:pos="3884"/>
                <w:tab w:val="left" w:pos="5585"/>
              </w:tabs>
              <w:snapToGrid w:val="0"/>
              <w:spacing w:line="380" w:lineRule="exact"/>
              <w:rPr>
                <w:rFonts w:ascii="宋体" w:hAnsi="宋体" w:cs="宋体"/>
                <w:szCs w:val="21"/>
              </w:rPr>
            </w:pPr>
          </w:p>
        </w:tc>
        <w:tc>
          <w:tcPr>
            <w:tcW w:w="2079" w:type="dxa"/>
            <w:vAlign w:val="center"/>
          </w:tcPr>
          <w:p>
            <w:pPr>
              <w:tabs>
                <w:tab w:val="left" w:pos="482"/>
                <w:tab w:val="left" w:pos="2183"/>
                <w:tab w:val="left" w:pos="3884"/>
                <w:tab w:val="left" w:pos="5585"/>
              </w:tabs>
              <w:jc w:val="center"/>
              <w:rPr>
                <w:rFonts w:ascii="宋体" w:hAnsi="宋体" w:cs="宋体"/>
                <w:color w:val="000000"/>
              </w:rPr>
            </w:pPr>
          </w:p>
        </w:tc>
        <w:tc>
          <w:tcPr>
            <w:tcW w:w="2310" w:type="dxa"/>
            <w:vAlign w:val="center"/>
          </w:tcPr>
          <w:p>
            <w:pPr>
              <w:tabs>
                <w:tab w:val="left" w:pos="482"/>
                <w:tab w:val="left" w:pos="2183"/>
                <w:tab w:val="left" w:pos="3884"/>
                <w:tab w:val="left" w:pos="5585"/>
              </w:tabs>
              <w:spacing w:line="280" w:lineRule="exact"/>
              <w:ind w:right="277" w:rightChars="132"/>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97" w:type="dxa"/>
            <w:vAlign w:val="center"/>
          </w:tcPr>
          <w:p>
            <w:pPr>
              <w:widowControl/>
              <w:tabs>
                <w:tab w:val="left" w:pos="482"/>
                <w:tab w:val="left" w:pos="2183"/>
                <w:tab w:val="left" w:pos="3884"/>
                <w:tab w:val="left" w:pos="5585"/>
              </w:tabs>
              <w:jc w:val="center"/>
              <w:rPr>
                <w:rFonts w:ascii="Arial" w:hAnsi="Arial" w:cs="Arial"/>
                <w:color w:val="000000"/>
                <w:sz w:val="20"/>
              </w:rPr>
            </w:pPr>
          </w:p>
        </w:tc>
        <w:tc>
          <w:tcPr>
            <w:tcW w:w="3569" w:type="dxa"/>
            <w:vAlign w:val="bottom"/>
          </w:tcPr>
          <w:p>
            <w:pPr>
              <w:tabs>
                <w:tab w:val="left" w:pos="482"/>
                <w:tab w:val="left" w:pos="2183"/>
                <w:tab w:val="left" w:pos="3884"/>
                <w:tab w:val="left" w:pos="5585"/>
              </w:tabs>
              <w:rPr>
                <w:rFonts w:ascii="宋体" w:hAnsi="宋体" w:cs="宋体"/>
                <w:color w:val="000000"/>
              </w:rPr>
            </w:pPr>
          </w:p>
        </w:tc>
        <w:tc>
          <w:tcPr>
            <w:tcW w:w="2079" w:type="dxa"/>
            <w:vAlign w:val="center"/>
          </w:tcPr>
          <w:p>
            <w:pPr>
              <w:tabs>
                <w:tab w:val="left" w:pos="482"/>
                <w:tab w:val="left" w:pos="2183"/>
                <w:tab w:val="left" w:pos="3884"/>
                <w:tab w:val="left" w:pos="5585"/>
              </w:tabs>
              <w:jc w:val="center"/>
              <w:rPr>
                <w:rFonts w:ascii="宋体" w:hAnsi="宋体" w:cs="宋体"/>
                <w:color w:val="000000"/>
              </w:rPr>
            </w:pPr>
          </w:p>
        </w:tc>
        <w:tc>
          <w:tcPr>
            <w:tcW w:w="2310" w:type="dxa"/>
            <w:vAlign w:val="center"/>
          </w:tcPr>
          <w:p>
            <w:pPr>
              <w:tabs>
                <w:tab w:val="left" w:pos="482"/>
                <w:tab w:val="left" w:pos="2183"/>
                <w:tab w:val="left" w:pos="3884"/>
                <w:tab w:val="left" w:pos="5585"/>
              </w:tabs>
              <w:spacing w:line="280" w:lineRule="exact"/>
              <w:ind w:right="277" w:rightChars="132"/>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97" w:type="dxa"/>
            <w:vAlign w:val="center"/>
          </w:tcPr>
          <w:p>
            <w:pPr>
              <w:widowControl/>
              <w:tabs>
                <w:tab w:val="left" w:pos="482"/>
                <w:tab w:val="left" w:pos="2183"/>
                <w:tab w:val="left" w:pos="3884"/>
                <w:tab w:val="left" w:pos="5585"/>
              </w:tabs>
              <w:jc w:val="center"/>
              <w:rPr>
                <w:rFonts w:ascii="Arial" w:hAnsi="Arial" w:cs="Arial"/>
                <w:color w:val="000000"/>
                <w:sz w:val="20"/>
              </w:rPr>
            </w:pPr>
          </w:p>
        </w:tc>
        <w:tc>
          <w:tcPr>
            <w:tcW w:w="3569" w:type="dxa"/>
            <w:vAlign w:val="bottom"/>
          </w:tcPr>
          <w:p>
            <w:pPr>
              <w:tabs>
                <w:tab w:val="left" w:pos="482"/>
                <w:tab w:val="left" w:pos="2183"/>
                <w:tab w:val="left" w:pos="3884"/>
                <w:tab w:val="left" w:pos="5585"/>
              </w:tabs>
              <w:rPr>
                <w:rFonts w:ascii="宋体" w:hAnsi="宋体" w:cs="宋体"/>
                <w:color w:val="000000"/>
              </w:rPr>
            </w:pPr>
          </w:p>
        </w:tc>
        <w:tc>
          <w:tcPr>
            <w:tcW w:w="2079" w:type="dxa"/>
            <w:vAlign w:val="center"/>
          </w:tcPr>
          <w:p>
            <w:pPr>
              <w:tabs>
                <w:tab w:val="left" w:pos="482"/>
                <w:tab w:val="left" w:pos="2183"/>
                <w:tab w:val="left" w:pos="3884"/>
                <w:tab w:val="left" w:pos="5585"/>
              </w:tabs>
              <w:jc w:val="center"/>
              <w:rPr>
                <w:rFonts w:ascii="宋体" w:hAnsi="宋体" w:cs="宋体"/>
                <w:color w:val="000000"/>
              </w:rPr>
            </w:pPr>
          </w:p>
        </w:tc>
        <w:tc>
          <w:tcPr>
            <w:tcW w:w="2310" w:type="dxa"/>
            <w:vAlign w:val="center"/>
          </w:tcPr>
          <w:p>
            <w:pPr>
              <w:tabs>
                <w:tab w:val="left" w:pos="482"/>
                <w:tab w:val="left" w:pos="2183"/>
                <w:tab w:val="left" w:pos="3884"/>
                <w:tab w:val="left" w:pos="5585"/>
              </w:tabs>
              <w:spacing w:line="280" w:lineRule="exact"/>
              <w:ind w:right="277" w:rightChars="132"/>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97" w:type="dxa"/>
            <w:vAlign w:val="center"/>
          </w:tcPr>
          <w:p>
            <w:pPr>
              <w:widowControl/>
              <w:tabs>
                <w:tab w:val="left" w:pos="482"/>
                <w:tab w:val="left" w:pos="2183"/>
                <w:tab w:val="left" w:pos="3884"/>
                <w:tab w:val="left" w:pos="5585"/>
              </w:tabs>
              <w:jc w:val="center"/>
              <w:rPr>
                <w:rFonts w:ascii="Arial" w:hAnsi="Arial" w:cs="Arial"/>
                <w:color w:val="000000"/>
                <w:sz w:val="20"/>
              </w:rPr>
            </w:pPr>
          </w:p>
        </w:tc>
        <w:tc>
          <w:tcPr>
            <w:tcW w:w="3569" w:type="dxa"/>
            <w:vAlign w:val="bottom"/>
          </w:tcPr>
          <w:p>
            <w:pPr>
              <w:tabs>
                <w:tab w:val="left" w:pos="482"/>
                <w:tab w:val="left" w:pos="2183"/>
                <w:tab w:val="left" w:pos="3884"/>
                <w:tab w:val="left" w:pos="5585"/>
              </w:tabs>
              <w:rPr>
                <w:rFonts w:ascii="宋体" w:hAnsi="宋体" w:cs="宋体"/>
                <w:color w:val="000000"/>
              </w:rPr>
            </w:pPr>
          </w:p>
        </w:tc>
        <w:tc>
          <w:tcPr>
            <w:tcW w:w="2079" w:type="dxa"/>
            <w:vAlign w:val="center"/>
          </w:tcPr>
          <w:p>
            <w:pPr>
              <w:tabs>
                <w:tab w:val="left" w:pos="482"/>
                <w:tab w:val="left" w:pos="2183"/>
                <w:tab w:val="left" w:pos="3884"/>
                <w:tab w:val="left" w:pos="5585"/>
              </w:tabs>
              <w:jc w:val="center"/>
              <w:rPr>
                <w:rFonts w:ascii="宋体" w:hAnsi="宋体" w:cs="宋体"/>
                <w:color w:val="000000"/>
              </w:rPr>
            </w:pPr>
          </w:p>
        </w:tc>
        <w:tc>
          <w:tcPr>
            <w:tcW w:w="2310" w:type="dxa"/>
            <w:vAlign w:val="center"/>
          </w:tcPr>
          <w:p>
            <w:pPr>
              <w:tabs>
                <w:tab w:val="left" w:pos="482"/>
                <w:tab w:val="left" w:pos="2183"/>
                <w:tab w:val="left" w:pos="3884"/>
                <w:tab w:val="left" w:pos="5585"/>
              </w:tabs>
              <w:spacing w:line="280" w:lineRule="exact"/>
              <w:ind w:right="277" w:rightChars="132"/>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97" w:type="dxa"/>
            <w:vAlign w:val="center"/>
          </w:tcPr>
          <w:p>
            <w:pPr>
              <w:widowControl/>
              <w:tabs>
                <w:tab w:val="left" w:pos="482"/>
                <w:tab w:val="left" w:pos="2183"/>
                <w:tab w:val="left" w:pos="3884"/>
                <w:tab w:val="left" w:pos="5585"/>
              </w:tabs>
              <w:jc w:val="center"/>
              <w:rPr>
                <w:rFonts w:ascii="Arial" w:hAnsi="Arial" w:cs="Arial"/>
                <w:color w:val="000000"/>
                <w:sz w:val="20"/>
              </w:rPr>
            </w:pPr>
          </w:p>
        </w:tc>
        <w:tc>
          <w:tcPr>
            <w:tcW w:w="3569" w:type="dxa"/>
            <w:vAlign w:val="bottom"/>
          </w:tcPr>
          <w:p>
            <w:pPr>
              <w:tabs>
                <w:tab w:val="left" w:pos="482"/>
                <w:tab w:val="left" w:pos="2183"/>
                <w:tab w:val="left" w:pos="3884"/>
                <w:tab w:val="left" w:pos="5585"/>
              </w:tabs>
              <w:rPr>
                <w:rFonts w:ascii="宋体" w:hAnsi="宋体" w:cs="宋体"/>
                <w:color w:val="000000"/>
              </w:rPr>
            </w:pPr>
          </w:p>
        </w:tc>
        <w:tc>
          <w:tcPr>
            <w:tcW w:w="2079" w:type="dxa"/>
            <w:vAlign w:val="center"/>
          </w:tcPr>
          <w:p>
            <w:pPr>
              <w:tabs>
                <w:tab w:val="left" w:pos="482"/>
                <w:tab w:val="left" w:pos="2183"/>
                <w:tab w:val="left" w:pos="3884"/>
                <w:tab w:val="left" w:pos="5585"/>
              </w:tabs>
              <w:jc w:val="center"/>
              <w:rPr>
                <w:rFonts w:ascii="宋体" w:hAnsi="宋体" w:cs="宋体"/>
                <w:color w:val="000000"/>
              </w:rPr>
            </w:pPr>
          </w:p>
        </w:tc>
        <w:tc>
          <w:tcPr>
            <w:tcW w:w="2310" w:type="dxa"/>
            <w:vAlign w:val="center"/>
          </w:tcPr>
          <w:p>
            <w:pPr>
              <w:tabs>
                <w:tab w:val="left" w:pos="482"/>
                <w:tab w:val="left" w:pos="2183"/>
                <w:tab w:val="left" w:pos="3884"/>
                <w:tab w:val="left" w:pos="5585"/>
              </w:tabs>
              <w:spacing w:line="280" w:lineRule="exact"/>
              <w:ind w:right="277" w:rightChars="132"/>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9" w:hRule="atLeast"/>
        </w:trPr>
        <w:tc>
          <w:tcPr>
            <w:tcW w:w="697" w:type="dxa"/>
            <w:vAlign w:val="center"/>
          </w:tcPr>
          <w:p>
            <w:pPr>
              <w:widowControl/>
              <w:tabs>
                <w:tab w:val="left" w:pos="482"/>
                <w:tab w:val="left" w:pos="2183"/>
                <w:tab w:val="left" w:pos="3884"/>
                <w:tab w:val="left" w:pos="5585"/>
              </w:tabs>
              <w:jc w:val="center"/>
              <w:rPr>
                <w:rFonts w:ascii="Arial" w:hAnsi="Arial" w:cs="Arial"/>
                <w:color w:val="000000"/>
                <w:sz w:val="20"/>
              </w:rPr>
            </w:pPr>
          </w:p>
        </w:tc>
        <w:tc>
          <w:tcPr>
            <w:tcW w:w="3569" w:type="dxa"/>
            <w:vAlign w:val="bottom"/>
          </w:tcPr>
          <w:p>
            <w:pPr>
              <w:tabs>
                <w:tab w:val="left" w:pos="482"/>
                <w:tab w:val="left" w:pos="2183"/>
                <w:tab w:val="left" w:pos="3884"/>
                <w:tab w:val="left" w:pos="5585"/>
              </w:tabs>
              <w:rPr>
                <w:rFonts w:ascii="宋体" w:hAnsi="宋体" w:cs="宋体"/>
                <w:color w:val="000000"/>
              </w:rPr>
            </w:pPr>
          </w:p>
        </w:tc>
        <w:tc>
          <w:tcPr>
            <w:tcW w:w="2079" w:type="dxa"/>
            <w:vAlign w:val="center"/>
          </w:tcPr>
          <w:p>
            <w:pPr>
              <w:tabs>
                <w:tab w:val="left" w:pos="482"/>
                <w:tab w:val="left" w:pos="2183"/>
                <w:tab w:val="left" w:pos="3884"/>
                <w:tab w:val="left" w:pos="5585"/>
              </w:tabs>
              <w:jc w:val="center"/>
              <w:rPr>
                <w:rFonts w:ascii="宋体" w:hAnsi="宋体" w:cs="宋体"/>
                <w:color w:val="000000"/>
              </w:rPr>
            </w:pPr>
          </w:p>
        </w:tc>
        <w:tc>
          <w:tcPr>
            <w:tcW w:w="2310" w:type="dxa"/>
            <w:vAlign w:val="center"/>
          </w:tcPr>
          <w:p>
            <w:pPr>
              <w:tabs>
                <w:tab w:val="left" w:pos="482"/>
                <w:tab w:val="left" w:pos="2183"/>
                <w:tab w:val="left" w:pos="3884"/>
                <w:tab w:val="left" w:pos="5585"/>
              </w:tabs>
              <w:spacing w:line="280" w:lineRule="exact"/>
              <w:ind w:right="277" w:rightChars="132"/>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97" w:type="dxa"/>
            <w:vAlign w:val="center"/>
          </w:tcPr>
          <w:p>
            <w:pPr>
              <w:widowControl/>
              <w:tabs>
                <w:tab w:val="left" w:pos="482"/>
                <w:tab w:val="left" w:pos="2183"/>
                <w:tab w:val="left" w:pos="3884"/>
                <w:tab w:val="left" w:pos="5585"/>
              </w:tabs>
              <w:jc w:val="center"/>
              <w:rPr>
                <w:rFonts w:ascii="Arial" w:hAnsi="Arial" w:cs="Arial"/>
                <w:color w:val="000000"/>
                <w:sz w:val="20"/>
              </w:rPr>
            </w:pPr>
          </w:p>
        </w:tc>
        <w:tc>
          <w:tcPr>
            <w:tcW w:w="3569" w:type="dxa"/>
            <w:vAlign w:val="bottom"/>
          </w:tcPr>
          <w:p>
            <w:pPr>
              <w:tabs>
                <w:tab w:val="left" w:pos="482"/>
                <w:tab w:val="left" w:pos="2183"/>
                <w:tab w:val="left" w:pos="3884"/>
                <w:tab w:val="left" w:pos="5585"/>
              </w:tabs>
              <w:rPr>
                <w:rFonts w:ascii="宋体" w:hAnsi="宋体" w:cs="宋体"/>
                <w:color w:val="000000"/>
              </w:rPr>
            </w:pPr>
          </w:p>
        </w:tc>
        <w:tc>
          <w:tcPr>
            <w:tcW w:w="2079" w:type="dxa"/>
            <w:vAlign w:val="center"/>
          </w:tcPr>
          <w:p>
            <w:pPr>
              <w:tabs>
                <w:tab w:val="left" w:pos="482"/>
                <w:tab w:val="left" w:pos="2183"/>
                <w:tab w:val="left" w:pos="3884"/>
                <w:tab w:val="left" w:pos="5585"/>
              </w:tabs>
              <w:jc w:val="center"/>
              <w:rPr>
                <w:rFonts w:ascii="宋体" w:hAnsi="宋体" w:cs="宋体"/>
                <w:color w:val="000000"/>
              </w:rPr>
            </w:pPr>
          </w:p>
        </w:tc>
        <w:tc>
          <w:tcPr>
            <w:tcW w:w="2310" w:type="dxa"/>
            <w:vAlign w:val="center"/>
          </w:tcPr>
          <w:p>
            <w:pPr>
              <w:tabs>
                <w:tab w:val="left" w:pos="482"/>
                <w:tab w:val="left" w:pos="2183"/>
                <w:tab w:val="left" w:pos="3884"/>
                <w:tab w:val="left" w:pos="5585"/>
              </w:tabs>
              <w:spacing w:line="280" w:lineRule="exact"/>
              <w:ind w:right="277" w:rightChars="132"/>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97" w:type="dxa"/>
            <w:vAlign w:val="center"/>
          </w:tcPr>
          <w:p>
            <w:pPr>
              <w:widowControl/>
              <w:tabs>
                <w:tab w:val="left" w:pos="482"/>
                <w:tab w:val="left" w:pos="2183"/>
                <w:tab w:val="left" w:pos="3884"/>
                <w:tab w:val="left" w:pos="5585"/>
              </w:tabs>
              <w:jc w:val="center"/>
              <w:rPr>
                <w:rFonts w:ascii="Arial" w:hAnsi="Arial" w:cs="Arial"/>
                <w:color w:val="000000"/>
                <w:sz w:val="20"/>
              </w:rPr>
            </w:pPr>
          </w:p>
        </w:tc>
        <w:tc>
          <w:tcPr>
            <w:tcW w:w="3569" w:type="dxa"/>
            <w:vAlign w:val="bottom"/>
          </w:tcPr>
          <w:p>
            <w:pPr>
              <w:tabs>
                <w:tab w:val="left" w:pos="482"/>
                <w:tab w:val="left" w:pos="2183"/>
                <w:tab w:val="left" w:pos="3884"/>
                <w:tab w:val="left" w:pos="5585"/>
              </w:tabs>
              <w:rPr>
                <w:rFonts w:ascii="宋体" w:hAnsi="宋体" w:cs="宋体"/>
                <w:color w:val="000000"/>
              </w:rPr>
            </w:pPr>
          </w:p>
        </w:tc>
        <w:tc>
          <w:tcPr>
            <w:tcW w:w="2079" w:type="dxa"/>
            <w:vAlign w:val="center"/>
          </w:tcPr>
          <w:p>
            <w:pPr>
              <w:tabs>
                <w:tab w:val="left" w:pos="482"/>
                <w:tab w:val="left" w:pos="2183"/>
                <w:tab w:val="left" w:pos="3884"/>
                <w:tab w:val="left" w:pos="5585"/>
              </w:tabs>
              <w:jc w:val="center"/>
              <w:rPr>
                <w:rFonts w:ascii="宋体" w:hAnsi="宋体" w:cs="宋体"/>
                <w:color w:val="000000"/>
              </w:rPr>
            </w:pPr>
          </w:p>
        </w:tc>
        <w:tc>
          <w:tcPr>
            <w:tcW w:w="2310" w:type="dxa"/>
            <w:vAlign w:val="center"/>
          </w:tcPr>
          <w:p>
            <w:pPr>
              <w:tabs>
                <w:tab w:val="left" w:pos="482"/>
                <w:tab w:val="left" w:pos="2183"/>
                <w:tab w:val="left" w:pos="3884"/>
                <w:tab w:val="left" w:pos="5585"/>
              </w:tabs>
              <w:spacing w:line="280" w:lineRule="exact"/>
              <w:ind w:right="277" w:rightChars="132"/>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97" w:type="dxa"/>
            <w:vAlign w:val="center"/>
          </w:tcPr>
          <w:p>
            <w:pPr>
              <w:widowControl/>
              <w:tabs>
                <w:tab w:val="left" w:pos="482"/>
                <w:tab w:val="left" w:pos="2183"/>
                <w:tab w:val="left" w:pos="3884"/>
                <w:tab w:val="left" w:pos="5585"/>
              </w:tabs>
              <w:jc w:val="center"/>
              <w:rPr>
                <w:rFonts w:ascii="Arial" w:hAnsi="Arial" w:cs="Arial"/>
                <w:color w:val="000000"/>
                <w:sz w:val="20"/>
              </w:rPr>
            </w:pPr>
          </w:p>
        </w:tc>
        <w:tc>
          <w:tcPr>
            <w:tcW w:w="3569" w:type="dxa"/>
            <w:vAlign w:val="bottom"/>
          </w:tcPr>
          <w:p>
            <w:pPr>
              <w:tabs>
                <w:tab w:val="left" w:pos="482"/>
                <w:tab w:val="left" w:pos="2183"/>
                <w:tab w:val="left" w:pos="3884"/>
                <w:tab w:val="left" w:pos="5585"/>
              </w:tabs>
              <w:rPr>
                <w:rFonts w:ascii="宋体" w:hAnsi="宋体" w:cs="宋体"/>
                <w:color w:val="000000"/>
              </w:rPr>
            </w:pPr>
          </w:p>
        </w:tc>
        <w:tc>
          <w:tcPr>
            <w:tcW w:w="2079" w:type="dxa"/>
            <w:vAlign w:val="center"/>
          </w:tcPr>
          <w:p>
            <w:pPr>
              <w:tabs>
                <w:tab w:val="left" w:pos="482"/>
                <w:tab w:val="left" w:pos="2183"/>
                <w:tab w:val="left" w:pos="3884"/>
                <w:tab w:val="left" w:pos="5585"/>
              </w:tabs>
              <w:jc w:val="center"/>
              <w:rPr>
                <w:rFonts w:ascii="宋体" w:hAnsi="宋体" w:cs="宋体"/>
                <w:color w:val="000000"/>
              </w:rPr>
            </w:pPr>
          </w:p>
        </w:tc>
        <w:tc>
          <w:tcPr>
            <w:tcW w:w="2310" w:type="dxa"/>
            <w:vAlign w:val="center"/>
          </w:tcPr>
          <w:p>
            <w:pPr>
              <w:tabs>
                <w:tab w:val="left" w:pos="482"/>
                <w:tab w:val="left" w:pos="2183"/>
                <w:tab w:val="left" w:pos="3884"/>
                <w:tab w:val="left" w:pos="5585"/>
              </w:tabs>
              <w:spacing w:line="280" w:lineRule="exact"/>
              <w:ind w:right="277" w:rightChars="132"/>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97" w:type="dxa"/>
            <w:vAlign w:val="center"/>
          </w:tcPr>
          <w:p>
            <w:pPr>
              <w:widowControl/>
              <w:tabs>
                <w:tab w:val="left" w:pos="482"/>
                <w:tab w:val="left" w:pos="2183"/>
                <w:tab w:val="left" w:pos="3884"/>
                <w:tab w:val="left" w:pos="5585"/>
              </w:tabs>
              <w:jc w:val="center"/>
              <w:rPr>
                <w:rFonts w:ascii="Arial" w:hAnsi="Arial" w:cs="Arial"/>
                <w:color w:val="000000"/>
                <w:sz w:val="20"/>
              </w:rPr>
            </w:pPr>
          </w:p>
        </w:tc>
        <w:tc>
          <w:tcPr>
            <w:tcW w:w="3569" w:type="dxa"/>
            <w:vAlign w:val="bottom"/>
          </w:tcPr>
          <w:p>
            <w:pPr>
              <w:tabs>
                <w:tab w:val="left" w:pos="482"/>
                <w:tab w:val="left" w:pos="2183"/>
                <w:tab w:val="left" w:pos="3884"/>
                <w:tab w:val="left" w:pos="5585"/>
              </w:tabs>
              <w:rPr>
                <w:rFonts w:ascii="宋体" w:hAnsi="宋体" w:cs="宋体"/>
                <w:color w:val="000000"/>
              </w:rPr>
            </w:pPr>
          </w:p>
        </w:tc>
        <w:tc>
          <w:tcPr>
            <w:tcW w:w="2079" w:type="dxa"/>
            <w:vAlign w:val="center"/>
          </w:tcPr>
          <w:p>
            <w:pPr>
              <w:tabs>
                <w:tab w:val="left" w:pos="482"/>
                <w:tab w:val="left" w:pos="2183"/>
                <w:tab w:val="left" w:pos="3884"/>
                <w:tab w:val="left" w:pos="5585"/>
              </w:tabs>
              <w:jc w:val="center"/>
              <w:rPr>
                <w:rFonts w:ascii="宋体" w:hAnsi="宋体" w:cs="宋体"/>
                <w:color w:val="000000"/>
              </w:rPr>
            </w:pPr>
          </w:p>
        </w:tc>
        <w:tc>
          <w:tcPr>
            <w:tcW w:w="2310" w:type="dxa"/>
            <w:vAlign w:val="center"/>
          </w:tcPr>
          <w:p>
            <w:pPr>
              <w:tabs>
                <w:tab w:val="left" w:pos="482"/>
                <w:tab w:val="left" w:pos="2183"/>
                <w:tab w:val="left" w:pos="3884"/>
                <w:tab w:val="left" w:pos="5585"/>
              </w:tabs>
              <w:spacing w:line="280" w:lineRule="exact"/>
              <w:ind w:right="277" w:rightChars="132"/>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97" w:type="dxa"/>
            <w:vAlign w:val="center"/>
          </w:tcPr>
          <w:p>
            <w:pPr>
              <w:widowControl/>
              <w:tabs>
                <w:tab w:val="left" w:pos="482"/>
                <w:tab w:val="left" w:pos="2183"/>
                <w:tab w:val="left" w:pos="3884"/>
                <w:tab w:val="left" w:pos="5585"/>
              </w:tabs>
              <w:jc w:val="center"/>
              <w:rPr>
                <w:rFonts w:ascii="Arial" w:hAnsi="Arial" w:cs="Arial"/>
                <w:color w:val="000000"/>
                <w:sz w:val="20"/>
              </w:rPr>
            </w:pPr>
          </w:p>
        </w:tc>
        <w:tc>
          <w:tcPr>
            <w:tcW w:w="3569" w:type="dxa"/>
            <w:vAlign w:val="bottom"/>
          </w:tcPr>
          <w:p>
            <w:pPr>
              <w:tabs>
                <w:tab w:val="left" w:pos="482"/>
                <w:tab w:val="left" w:pos="2183"/>
                <w:tab w:val="left" w:pos="3884"/>
                <w:tab w:val="left" w:pos="5585"/>
              </w:tabs>
              <w:rPr>
                <w:rFonts w:ascii="宋体" w:hAnsi="宋体" w:cs="宋体"/>
                <w:color w:val="000000"/>
              </w:rPr>
            </w:pPr>
          </w:p>
        </w:tc>
        <w:tc>
          <w:tcPr>
            <w:tcW w:w="2079" w:type="dxa"/>
            <w:vAlign w:val="center"/>
          </w:tcPr>
          <w:p>
            <w:pPr>
              <w:tabs>
                <w:tab w:val="left" w:pos="482"/>
                <w:tab w:val="left" w:pos="2183"/>
                <w:tab w:val="left" w:pos="3884"/>
                <w:tab w:val="left" w:pos="5585"/>
              </w:tabs>
              <w:jc w:val="center"/>
              <w:rPr>
                <w:rFonts w:ascii="宋体" w:hAnsi="宋体" w:cs="宋体"/>
                <w:color w:val="000000"/>
              </w:rPr>
            </w:pPr>
          </w:p>
        </w:tc>
        <w:tc>
          <w:tcPr>
            <w:tcW w:w="2310" w:type="dxa"/>
            <w:vAlign w:val="center"/>
          </w:tcPr>
          <w:p>
            <w:pPr>
              <w:tabs>
                <w:tab w:val="left" w:pos="482"/>
                <w:tab w:val="left" w:pos="2183"/>
                <w:tab w:val="left" w:pos="3884"/>
                <w:tab w:val="left" w:pos="5585"/>
              </w:tabs>
              <w:spacing w:line="280" w:lineRule="exact"/>
              <w:ind w:right="277" w:rightChars="132"/>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9" w:hRule="atLeast"/>
        </w:trPr>
        <w:tc>
          <w:tcPr>
            <w:tcW w:w="697" w:type="dxa"/>
            <w:vAlign w:val="center"/>
          </w:tcPr>
          <w:p>
            <w:pPr>
              <w:widowControl/>
              <w:tabs>
                <w:tab w:val="left" w:pos="482"/>
                <w:tab w:val="left" w:pos="2183"/>
                <w:tab w:val="left" w:pos="3884"/>
                <w:tab w:val="left" w:pos="5585"/>
              </w:tabs>
              <w:jc w:val="center"/>
              <w:rPr>
                <w:rFonts w:ascii="Arial" w:hAnsi="Arial" w:cs="Arial"/>
                <w:color w:val="000000"/>
                <w:sz w:val="20"/>
              </w:rPr>
            </w:pPr>
          </w:p>
        </w:tc>
        <w:tc>
          <w:tcPr>
            <w:tcW w:w="3569" w:type="dxa"/>
            <w:vAlign w:val="bottom"/>
          </w:tcPr>
          <w:p>
            <w:pPr>
              <w:tabs>
                <w:tab w:val="left" w:pos="482"/>
                <w:tab w:val="left" w:pos="2183"/>
                <w:tab w:val="left" w:pos="3884"/>
                <w:tab w:val="left" w:pos="5585"/>
              </w:tabs>
              <w:rPr>
                <w:rFonts w:ascii="宋体" w:hAnsi="宋体" w:cs="宋体"/>
                <w:color w:val="000000"/>
              </w:rPr>
            </w:pPr>
          </w:p>
        </w:tc>
        <w:tc>
          <w:tcPr>
            <w:tcW w:w="2079" w:type="dxa"/>
            <w:vAlign w:val="center"/>
          </w:tcPr>
          <w:p>
            <w:pPr>
              <w:tabs>
                <w:tab w:val="left" w:pos="482"/>
                <w:tab w:val="left" w:pos="2183"/>
                <w:tab w:val="left" w:pos="3884"/>
                <w:tab w:val="left" w:pos="5585"/>
              </w:tabs>
              <w:jc w:val="center"/>
              <w:rPr>
                <w:rFonts w:ascii="宋体" w:hAnsi="宋体" w:cs="宋体"/>
                <w:color w:val="000000"/>
              </w:rPr>
            </w:pPr>
          </w:p>
        </w:tc>
        <w:tc>
          <w:tcPr>
            <w:tcW w:w="2310" w:type="dxa"/>
            <w:vAlign w:val="center"/>
          </w:tcPr>
          <w:p>
            <w:pPr>
              <w:tabs>
                <w:tab w:val="left" w:pos="482"/>
                <w:tab w:val="left" w:pos="2183"/>
                <w:tab w:val="left" w:pos="3884"/>
                <w:tab w:val="left" w:pos="5585"/>
              </w:tabs>
              <w:spacing w:line="280" w:lineRule="exact"/>
              <w:ind w:right="277" w:rightChars="132"/>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97" w:type="dxa"/>
            <w:vAlign w:val="center"/>
          </w:tcPr>
          <w:p>
            <w:pPr>
              <w:widowControl/>
              <w:tabs>
                <w:tab w:val="left" w:pos="482"/>
                <w:tab w:val="left" w:pos="2183"/>
                <w:tab w:val="left" w:pos="3884"/>
                <w:tab w:val="left" w:pos="5585"/>
              </w:tabs>
              <w:jc w:val="center"/>
              <w:rPr>
                <w:rFonts w:ascii="Arial" w:hAnsi="Arial" w:cs="Arial"/>
                <w:color w:val="000000"/>
                <w:sz w:val="20"/>
              </w:rPr>
            </w:pPr>
          </w:p>
        </w:tc>
        <w:tc>
          <w:tcPr>
            <w:tcW w:w="3569" w:type="dxa"/>
            <w:vAlign w:val="bottom"/>
          </w:tcPr>
          <w:p>
            <w:pPr>
              <w:tabs>
                <w:tab w:val="left" w:pos="482"/>
                <w:tab w:val="left" w:pos="2183"/>
                <w:tab w:val="left" w:pos="3884"/>
                <w:tab w:val="left" w:pos="5585"/>
              </w:tabs>
              <w:rPr>
                <w:rFonts w:ascii="宋体" w:hAnsi="宋体" w:cs="宋体"/>
                <w:color w:val="000000"/>
              </w:rPr>
            </w:pPr>
          </w:p>
        </w:tc>
        <w:tc>
          <w:tcPr>
            <w:tcW w:w="2079" w:type="dxa"/>
            <w:vAlign w:val="center"/>
          </w:tcPr>
          <w:p>
            <w:pPr>
              <w:tabs>
                <w:tab w:val="left" w:pos="482"/>
                <w:tab w:val="left" w:pos="2183"/>
                <w:tab w:val="left" w:pos="3884"/>
                <w:tab w:val="left" w:pos="5585"/>
              </w:tabs>
              <w:jc w:val="center"/>
              <w:rPr>
                <w:rFonts w:ascii="宋体" w:hAnsi="宋体" w:cs="宋体"/>
                <w:color w:val="000000"/>
              </w:rPr>
            </w:pPr>
          </w:p>
        </w:tc>
        <w:tc>
          <w:tcPr>
            <w:tcW w:w="2310" w:type="dxa"/>
            <w:vAlign w:val="center"/>
          </w:tcPr>
          <w:p>
            <w:pPr>
              <w:tabs>
                <w:tab w:val="left" w:pos="482"/>
                <w:tab w:val="left" w:pos="2183"/>
                <w:tab w:val="left" w:pos="3884"/>
                <w:tab w:val="left" w:pos="5585"/>
              </w:tabs>
              <w:spacing w:line="280" w:lineRule="exact"/>
              <w:ind w:right="277" w:rightChars="132"/>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97" w:type="dxa"/>
            <w:vAlign w:val="center"/>
          </w:tcPr>
          <w:p>
            <w:pPr>
              <w:widowControl/>
              <w:tabs>
                <w:tab w:val="left" w:pos="482"/>
                <w:tab w:val="left" w:pos="2183"/>
                <w:tab w:val="left" w:pos="3884"/>
                <w:tab w:val="left" w:pos="5585"/>
              </w:tabs>
              <w:jc w:val="center"/>
              <w:rPr>
                <w:rFonts w:ascii="Arial" w:hAnsi="Arial" w:cs="Arial"/>
                <w:color w:val="000000"/>
                <w:sz w:val="20"/>
              </w:rPr>
            </w:pPr>
          </w:p>
        </w:tc>
        <w:tc>
          <w:tcPr>
            <w:tcW w:w="3569" w:type="dxa"/>
            <w:vAlign w:val="bottom"/>
          </w:tcPr>
          <w:p>
            <w:pPr>
              <w:tabs>
                <w:tab w:val="left" w:pos="482"/>
                <w:tab w:val="left" w:pos="2183"/>
                <w:tab w:val="left" w:pos="3884"/>
                <w:tab w:val="left" w:pos="5585"/>
              </w:tabs>
              <w:rPr>
                <w:rFonts w:ascii="宋体" w:hAnsi="宋体" w:cs="宋体"/>
                <w:color w:val="000000"/>
              </w:rPr>
            </w:pPr>
          </w:p>
        </w:tc>
        <w:tc>
          <w:tcPr>
            <w:tcW w:w="2079" w:type="dxa"/>
            <w:vAlign w:val="center"/>
          </w:tcPr>
          <w:p>
            <w:pPr>
              <w:tabs>
                <w:tab w:val="left" w:pos="482"/>
                <w:tab w:val="left" w:pos="2183"/>
                <w:tab w:val="left" w:pos="3884"/>
                <w:tab w:val="left" w:pos="5585"/>
              </w:tabs>
              <w:jc w:val="center"/>
              <w:rPr>
                <w:rFonts w:ascii="宋体" w:hAnsi="宋体" w:cs="宋体"/>
                <w:color w:val="000000"/>
              </w:rPr>
            </w:pPr>
          </w:p>
        </w:tc>
        <w:tc>
          <w:tcPr>
            <w:tcW w:w="2310" w:type="dxa"/>
            <w:vAlign w:val="center"/>
          </w:tcPr>
          <w:p>
            <w:pPr>
              <w:tabs>
                <w:tab w:val="left" w:pos="482"/>
                <w:tab w:val="left" w:pos="2183"/>
                <w:tab w:val="left" w:pos="3884"/>
                <w:tab w:val="left" w:pos="5585"/>
              </w:tabs>
              <w:spacing w:line="280" w:lineRule="exact"/>
              <w:ind w:right="277" w:rightChars="132"/>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97" w:type="dxa"/>
            <w:vAlign w:val="center"/>
          </w:tcPr>
          <w:p>
            <w:pPr>
              <w:widowControl/>
              <w:tabs>
                <w:tab w:val="left" w:pos="482"/>
                <w:tab w:val="left" w:pos="2183"/>
                <w:tab w:val="left" w:pos="3884"/>
                <w:tab w:val="left" w:pos="5585"/>
              </w:tabs>
              <w:jc w:val="center"/>
              <w:rPr>
                <w:rFonts w:ascii="Arial" w:hAnsi="Arial" w:cs="Arial"/>
                <w:color w:val="000000"/>
                <w:sz w:val="20"/>
              </w:rPr>
            </w:pPr>
          </w:p>
        </w:tc>
        <w:tc>
          <w:tcPr>
            <w:tcW w:w="3569" w:type="dxa"/>
            <w:vAlign w:val="bottom"/>
          </w:tcPr>
          <w:p>
            <w:pPr>
              <w:tabs>
                <w:tab w:val="left" w:pos="482"/>
                <w:tab w:val="left" w:pos="2183"/>
                <w:tab w:val="left" w:pos="3884"/>
                <w:tab w:val="left" w:pos="5585"/>
              </w:tabs>
              <w:rPr>
                <w:rFonts w:ascii="宋体" w:hAnsi="宋体" w:cs="宋体"/>
                <w:color w:val="000000"/>
              </w:rPr>
            </w:pPr>
          </w:p>
        </w:tc>
        <w:tc>
          <w:tcPr>
            <w:tcW w:w="2079" w:type="dxa"/>
            <w:vAlign w:val="center"/>
          </w:tcPr>
          <w:p>
            <w:pPr>
              <w:tabs>
                <w:tab w:val="left" w:pos="482"/>
                <w:tab w:val="left" w:pos="2183"/>
                <w:tab w:val="left" w:pos="3884"/>
                <w:tab w:val="left" w:pos="5585"/>
              </w:tabs>
              <w:jc w:val="center"/>
              <w:rPr>
                <w:rFonts w:ascii="宋体" w:hAnsi="宋体" w:cs="宋体"/>
                <w:color w:val="000000"/>
              </w:rPr>
            </w:pPr>
          </w:p>
        </w:tc>
        <w:tc>
          <w:tcPr>
            <w:tcW w:w="2310" w:type="dxa"/>
            <w:vAlign w:val="center"/>
          </w:tcPr>
          <w:p>
            <w:pPr>
              <w:tabs>
                <w:tab w:val="left" w:pos="482"/>
                <w:tab w:val="left" w:pos="2183"/>
                <w:tab w:val="left" w:pos="3884"/>
                <w:tab w:val="left" w:pos="5585"/>
              </w:tabs>
              <w:spacing w:line="280" w:lineRule="exact"/>
              <w:ind w:right="277" w:rightChars="132"/>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97" w:type="dxa"/>
            <w:vAlign w:val="center"/>
          </w:tcPr>
          <w:p>
            <w:pPr>
              <w:widowControl/>
              <w:tabs>
                <w:tab w:val="left" w:pos="482"/>
                <w:tab w:val="left" w:pos="2183"/>
                <w:tab w:val="left" w:pos="3884"/>
                <w:tab w:val="left" w:pos="5585"/>
              </w:tabs>
              <w:jc w:val="center"/>
              <w:rPr>
                <w:rFonts w:ascii="Arial" w:hAnsi="Arial" w:cs="Arial"/>
                <w:color w:val="000000"/>
                <w:sz w:val="20"/>
              </w:rPr>
            </w:pPr>
          </w:p>
        </w:tc>
        <w:tc>
          <w:tcPr>
            <w:tcW w:w="3569" w:type="dxa"/>
            <w:vAlign w:val="bottom"/>
          </w:tcPr>
          <w:p>
            <w:pPr>
              <w:tabs>
                <w:tab w:val="left" w:pos="482"/>
                <w:tab w:val="left" w:pos="2183"/>
                <w:tab w:val="left" w:pos="3884"/>
                <w:tab w:val="left" w:pos="5585"/>
              </w:tabs>
              <w:rPr>
                <w:rFonts w:ascii="宋体" w:hAnsi="宋体" w:cs="宋体"/>
                <w:color w:val="000000"/>
              </w:rPr>
            </w:pPr>
          </w:p>
        </w:tc>
        <w:tc>
          <w:tcPr>
            <w:tcW w:w="2079" w:type="dxa"/>
            <w:vAlign w:val="center"/>
          </w:tcPr>
          <w:p>
            <w:pPr>
              <w:tabs>
                <w:tab w:val="left" w:pos="482"/>
                <w:tab w:val="left" w:pos="2183"/>
                <w:tab w:val="left" w:pos="3884"/>
                <w:tab w:val="left" w:pos="5585"/>
              </w:tabs>
              <w:jc w:val="center"/>
              <w:rPr>
                <w:rFonts w:ascii="宋体" w:hAnsi="宋体" w:cs="宋体"/>
                <w:color w:val="000000"/>
              </w:rPr>
            </w:pPr>
          </w:p>
        </w:tc>
        <w:tc>
          <w:tcPr>
            <w:tcW w:w="2310" w:type="dxa"/>
            <w:vAlign w:val="center"/>
          </w:tcPr>
          <w:p>
            <w:pPr>
              <w:tabs>
                <w:tab w:val="left" w:pos="482"/>
                <w:tab w:val="left" w:pos="2183"/>
                <w:tab w:val="left" w:pos="3884"/>
                <w:tab w:val="left" w:pos="5585"/>
              </w:tabs>
              <w:spacing w:line="280" w:lineRule="exact"/>
              <w:ind w:right="277" w:rightChars="132"/>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97" w:type="dxa"/>
            <w:vAlign w:val="center"/>
          </w:tcPr>
          <w:p>
            <w:pPr>
              <w:widowControl/>
              <w:tabs>
                <w:tab w:val="left" w:pos="482"/>
                <w:tab w:val="left" w:pos="2183"/>
                <w:tab w:val="left" w:pos="3884"/>
                <w:tab w:val="left" w:pos="5585"/>
              </w:tabs>
              <w:jc w:val="center"/>
              <w:rPr>
                <w:rFonts w:ascii="Arial" w:hAnsi="Arial" w:cs="Arial"/>
                <w:color w:val="000000"/>
                <w:sz w:val="20"/>
              </w:rPr>
            </w:pPr>
          </w:p>
        </w:tc>
        <w:tc>
          <w:tcPr>
            <w:tcW w:w="3569" w:type="dxa"/>
            <w:vAlign w:val="bottom"/>
          </w:tcPr>
          <w:p>
            <w:pPr>
              <w:tabs>
                <w:tab w:val="left" w:pos="482"/>
                <w:tab w:val="left" w:pos="2183"/>
                <w:tab w:val="left" w:pos="3884"/>
                <w:tab w:val="left" w:pos="5585"/>
              </w:tabs>
              <w:rPr>
                <w:rFonts w:ascii="宋体" w:hAnsi="宋体" w:cs="宋体"/>
                <w:color w:val="000000"/>
              </w:rPr>
            </w:pPr>
          </w:p>
        </w:tc>
        <w:tc>
          <w:tcPr>
            <w:tcW w:w="2079" w:type="dxa"/>
            <w:vAlign w:val="center"/>
          </w:tcPr>
          <w:p>
            <w:pPr>
              <w:tabs>
                <w:tab w:val="left" w:pos="482"/>
                <w:tab w:val="left" w:pos="2183"/>
                <w:tab w:val="left" w:pos="3884"/>
                <w:tab w:val="left" w:pos="5585"/>
              </w:tabs>
              <w:jc w:val="center"/>
              <w:rPr>
                <w:rFonts w:ascii="宋体" w:hAnsi="宋体" w:cs="宋体"/>
                <w:color w:val="000000"/>
              </w:rPr>
            </w:pPr>
          </w:p>
        </w:tc>
        <w:tc>
          <w:tcPr>
            <w:tcW w:w="2310" w:type="dxa"/>
            <w:vAlign w:val="center"/>
          </w:tcPr>
          <w:p>
            <w:pPr>
              <w:tabs>
                <w:tab w:val="left" w:pos="482"/>
                <w:tab w:val="left" w:pos="2183"/>
                <w:tab w:val="left" w:pos="3884"/>
                <w:tab w:val="left" w:pos="5585"/>
              </w:tabs>
              <w:spacing w:line="280" w:lineRule="exact"/>
              <w:ind w:right="277" w:rightChars="132"/>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9" w:hRule="atLeast"/>
        </w:trPr>
        <w:tc>
          <w:tcPr>
            <w:tcW w:w="697" w:type="dxa"/>
            <w:vAlign w:val="center"/>
          </w:tcPr>
          <w:p>
            <w:pPr>
              <w:widowControl/>
              <w:tabs>
                <w:tab w:val="left" w:pos="482"/>
                <w:tab w:val="left" w:pos="2183"/>
                <w:tab w:val="left" w:pos="3884"/>
                <w:tab w:val="left" w:pos="5585"/>
              </w:tabs>
              <w:jc w:val="center"/>
              <w:rPr>
                <w:rFonts w:ascii="Arial" w:hAnsi="Arial" w:cs="Arial"/>
                <w:color w:val="000000"/>
                <w:sz w:val="20"/>
              </w:rPr>
            </w:pPr>
          </w:p>
        </w:tc>
        <w:tc>
          <w:tcPr>
            <w:tcW w:w="3569" w:type="dxa"/>
            <w:vAlign w:val="bottom"/>
          </w:tcPr>
          <w:p>
            <w:pPr>
              <w:tabs>
                <w:tab w:val="left" w:pos="482"/>
                <w:tab w:val="left" w:pos="2183"/>
                <w:tab w:val="left" w:pos="3884"/>
                <w:tab w:val="left" w:pos="5585"/>
              </w:tabs>
              <w:rPr>
                <w:rFonts w:ascii="宋体" w:hAnsi="宋体" w:cs="宋体"/>
                <w:color w:val="000000"/>
              </w:rPr>
            </w:pPr>
          </w:p>
        </w:tc>
        <w:tc>
          <w:tcPr>
            <w:tcW w:w="2079" w:type="dxa"/>
            <w:vAlign w:val="center"/>
          </w:tcPr>
          <w:p>
            <w:pPr>
              <w:tabs>
                <w:tab w:val="left" w:pos="482"/>
                <w:tab w:val="left" w:pos="2183"/>
                <w:tab w:val="left" w:pos="3884"/>
                <w:tab w:val="left" w:pos="5585"/>
              </w:tabs>
              <w:jc w:val="center"/>
              <w:rPr>
                <w:rFonts w:ascii="宋体" w:hAnsi="宋体" w:cs="宋体"/>
                <w:color w:val="000000"/>
              </w:rPr>
            </w:pPr>
          </w:p>
        </w:tc>
        <w:tc>
          <w:tcPr>
            <w:tcW w:w="2310" w:type="dxa"/>
            <w:vAlign w:val="center"/>
          </w:tcPr>
          <w:p>
            <w:pPr>
              <w:tabs>
                <w:tab w:val="left" w:pos="482"/>
                <w:tab w:val="left" w:pos="2183"/>
                <w:tab w:val="left" w:pos="3884"/>
                <w:tab w:val="left" w:pos="5585"/>
              </w:tabs>
              <w:spacing w:line="280" w:lineRule="exact"/>
              <w:ind w:right="277" w:rightChars="132"/>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97" w:type="dxa"/>
            <w:vAlign w:val="center"/>
          </w:tcPr>
          <w:p>
            <w:pPr>
              <w:widowControl/>
              <w:tabs>
                <w:tab w:val="left" w:pos="482"/>
                <w:tab w:val="left" w:pos="2183"/>
                <w:tab w:val="left" w:pos="3884"/>
                <w:tab w:val="left" w:pos="5585"/>
              </w:tabs>
              <w:jc w:val="center"/>
              <w:rPr>
                <w:rFonts w:ascii="Arial" w:hAnsi="Arial" w:cs="Arial"/>
                <w:color w:val="000000"/>
                <w:sz w:val="20"/>
              </w:rPr>
            </w:pPr>
          </w:p>
        </w:tc>
        <w:tc>
          <w:tcPr>
            <w:tcW w:w="3569" w:type="dxa"/>
            <w:vAlign w:val="bottom"/>
          </w:tcPr>
          <w:p>
            <w:pPr>
              <w:tabs>
                <w:tab w:val="left" w:pos="482"/>
                <w:tab w:val="left" w:pos="2183"/>
                <w:tab w:val="left" w:pos="3884"/>
                <w:tab w:val="left" w:pos="5585"/>
              </w:tabs>
              <w:rPr>
                <w:rFonts w:ascii="宋体" w:hAnsi="宋体" w:cs="宋体"/>
                <w:color w:val="000000"/>
              </w:rPr>
            </w:pPr>
          </w:p>
        </w:tc>
        <w:tc>
          <w:tcPr>
            <w:tcW w:w="2079" w:type="dxa"/>
            <w:vAlign w:val="center"/>
          </w:tcPr>
          <w:p>
            <w:pPr>
              <w:tabs>
                <w:tab w:val="left" w:pos="482"/>
                <w:tab w:val="left" w:pos="2183"/>
                <w:tab w:val="left" w:pos="3884"/>
                <w:tab w:val="left" w:pos="5585"/>
              </w:tabs>
              <w:jc w:val="center"/>
              <w:rPr>
                <w:rFonts w:ascii="宋体" w:hAnsi="宋体" w:cs="宋体"/>
                <w:color w:val="000000"/>
              </w:rPr>
            </w:pPr>
          </w:p>
        </w:tc>
        <w:tc>
          <w:tcPr>
            <w:tcW w:w="2310" w:type="dxa"/>
            <w:vAlign w:val="center"/>
          </w:tcPr>
          <w:p>
            <w:pPr>
              <w:tabs>
                <w:tab w:val="left" w:pos="482"/>
                <w:tab w:val="left" w:pos="2183"/>
                <w:tab w:val="left" w:pos="3884"/>
                <w:tab w:val="left" w:pos="5585"/>
              </w:tabs>
              <w:spacing w:line="280" w:lineRule="exact"/>
              <w:ind w:right="277" w:rightChars="132"/>
              <w:jc w:val="center"/>
              <w:rPr>
                <w:rFonts w:ascii="宋体" w:hAnsi="宋体"/>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atLeast"/>
        </w:trPr>
        <w:tc>
          <w:tcPr>
            <w:tcW w:w="697" w:type="dxa"/>
            <w:vAlign w:val="center"/>
          </w:tcPr>
          <w:p>
            <w:pPr>
              <w:widowControl/>
              <w:tabs>
                <w:tab w:val="left" w:pos="482"/>
                <w:tab w:val="left" w:pos="2183"/>
                <w:tab w:val="left" w:pos="3884"/>
                <w:tab w:val="left" w:pos="5585"/>
              </w:tabs>
              <w:jc w:val="center"/>
              <w:rPr>
                <w:rFonts w:ascii="Arial" w:hAnsi="Arial" w:cs="Arial"/>
                <w:color w:val="000000"/>
                <w:sz w:val="20"/>
              </w:rPr>
            </w:pPr>
          </w:p>
        </w:tc>
        <w:tc>
          <w:tcPr>
            <w:tcW w:w="3569" w:type="dxa"/>
            <w:vAlign w:val="bottom"/>
          </w:tcPr>
          <w:p>
            <w:pPr>
              <w:tabs>
                <w:tab w:val="left" w:pos="482"/>
                <w:tab w:val="left" w:pos="2183"/>
                <w:tab w:val="left" w:pos="3884"/>
                <w:tab w:val="left" w:pos="5585"/>
              </w:tabs>
              <w:rPr>
                <w:rFonts w:ascii="宋体" w:hAnsi="宋体" w:cs="宋体"/>
                <w:color w:val="000000"/>
              </w:rPr>
            </w:pPr>
          </w:p>
        </w:tc>
        <w:tc>
          <w:tcPr>
            <w:tcW w:w="2079" w:type="dxa"/>
            <w:vAlign w:val="center"/>
          </w:tcPr>
          <w:p>
            <w:pPr>
              <w:tabs>
                <w:tab w:val="left" w:pos="482"/>
                <w:tab w:val="left" w:pos="2183"/>
                <w:tab w:val="left" w:pos="3884"/>
                <w:tab w:val="left" w:pos="5585"/>
              </w:tabs>
              <w:jc w:val="center"/>
              <w:rPr>
                <w:rFonts w:ascii="宋体" w:hAnsi="宋体" w:cs="宋体"/>
                <w:color w:val="000000"/>
              </w:rPr>
            </w:pPr>
          </w:p>
        </w:tc>
        <w:tc>
          <w:tcPr>
            <w:tcW w:w="2310" w:type="dxa"/>
            <w:vAlign w:val="center"/>
          </w:tcPr>
          <w:p>
            <w:pPr>
              <w:tabs>
                <w:tab w:val="left" w:pos="482"/>
                <w:tab w:val="left" w:pos="2183"/>
                <w:tab w:val="left" w:pos="3884"/>
                <w:tab w:val="left" w:pos="5585"/>
              </w:tabs>
              <w:spacing w:line="280" w:lineRule="exact"/>
              <w:ind w:right="277" w:rightChars="132"/>
              <w:jc w:val="center"/>
              <w:rPr>
                <w:rFonts w:ascii="宋体" w:hAnsi="宋体"/>
                <w:bCs/>
                <w:color w:val="000000"/>
                <w:szCs w:val="21"/>
              </w:rPr>
            </w:pPr>
          </w:p>
        </w:tc>
      </w:tr>
    </w:tbl>
    <w:p>
      <w:pPr>
        <w:pStyle w:val="69"/>
        <w:spacing w:line="360" w:lineRule="auto"/>
        <w:rPr>
          <w:rFonts w:ascii="Times New Roman" w:hAnsi="宋体"/>
          <w:szCs w:val="21"/>
        </w:rPr>
      </w:pPr>
    </w:p>
    <w:p>
      <w:pPr>
        <w:pStyle w:val="69"/>
        <w:spacing w:line="360" w:lineRule="auto"/>
        <w:rPr>
          <w:rFonts w:ascii="Times New Roman" w:hAnsi="Times New Roman"/>
          <w:szCs w:val="21"/>
        </w:rPr>
      </w:pPr>
      <w:r>
        <w:rPr>
          <w:rFonts w:ascii="Times New Roman" w:hAnsi="宋体"/>
          <w:szCs w:val="21"/>
        </w:rPr>
        <w:t>投标人（盖章）：</w:t>
      </w:r>
    </w:p>
    <w:p>
      <w:pPr>
        <w:pStyle w:val="69"/>
        <w:spacing w:line="360" w:lineRule="auto"/>
        <w:rPr>
          <w:rFonts w:ascii="Times New Roman" w:hAnsi="Times New Roman"/>
          <w:szCs w:val="21"/>
        </w:rPr>
      </w:pPr>
      <w:r>
        <w:rPr>
          <w:rFonts w:ascii="Times New Roman" w:hAnsi="宋体"/>
          <w:bCs/>
        </w:rPr>
        <w:t>法定代表人或其授权委托代理人</w:t>
      </w:r>
      <w:r>
        <w:rPr>
          <w:rFonts w:ascii="Times New Roman" w:hAnsi="宋体"/>
          <w:szCs w:val="21"/>
        </w:rPr>
        <w:t>签字：</w:t>
      </w:r>
    </w:p>
    <w:p>
      <w:pPr>
        <w:tabs>
          <w:tab w:val="left" w:pos="482"/>
          <w:tab w:val="left" w:pos="2183"/>
          <w:tab w:val="left" w:pos="3884"/>
          <w:tab w:val="left" w:pos="5585"/>
        </w:tabs>
        <w:rPr>
          <w:szCs w:val="21"/>
        </w:rPr>
      </w:pPr>
      <w:r>
        <w:rPr>
          <w:rFonts w:hAnsi="宋体"/>
          <w:szCs w:val="21"/>
        </w:rPr>
        <w:t>日期：</w:t>
      </w:r>
    </w:p>
    <w:p>
      <w:pPr>
        <w:tabs>
          <w:tab w:val="left" w:pos="482"/>
          <w:tab w:val="left" w:pos="2183"/>
          <w:tab w:val="left" w:pos="3884"/>
          <w:tab w:val="left" w:pos="5585"/>
        </w:tabs>
      </w:pPr>
    </w:p>
    <w:p>
      <w:pPr>
        <w:tabs>
          <w:tab w:val="left" w:pos="482"/>
          <w:tab w:val="left" w:pos="2183"/>
          <w:tab w:val="left" w:pos="3884"/>
          <w:tab w:val="left" w:pos="5585"/>
        </w:tabs>
        <w:snapToGrid w:val="0"/>
        <w:spacing w:line="360" w:lineRule="exact"/>
        <w:jc w:val="center"/>
        <w:rPr>
          <w:sz w:val="52"/>
        </w:rPr>
      </w:pPr>
    </w:p>
    <w:p>
      <w:pPr>
        <w:pStyle w:val="12"/>
        <w:tabs>
          <w:tab w:val="left" w:pos="272"/>
          <w:tab w:val="left" w:pos="412"/>
        </w:tabs>
        <w:spacing w:line="360" w:lineRule="exact"/>
        <w:ind w:firstLine="643"/>
        <w:jc w:val="center"/>
        <w:rPr>
          <w:b/>
          <w:kern w:val="0"/>
          <w:sz w:val="32"/>
        </w:rPr>
      </w:pPr>
    </w:p>
    <w:p>
      <w:pPr>
        <w:pStyle w:val="6"/>
        <w:jc w:val="center"/>
        <w:rPr>
          <w:rFonts w:hAnsi="宋体"/>
        </w:rPr>
      </w:pPr>
      <w:r>
        <w:rPr>
          <w:b w:val="0"/>
        </w:rPr>
        <w:br w:type="page"/>
      </w:r>
      <w:r>
        <w:rPr>
          <w:rFonts w:hint="eastAsia" w:hAnsi="宋体"/>
        </w:rPr>
        <w:t>4、</w:t>
      </w:r>
      <w:r>
        <w:rPr>
          <w:rFonts w:hAnsi="宋体"/>
        </w:rPr>
        <w:t>技术偏离表</w:t>
      </w:r>
      <w:bookmarkEnd w:id="263"/>
      <w:bookmarkEnd w:id="264"/>
    </w:p>
    <w:p>
      <w:pPr>
        <w:pStyle w:val="12"/>
        <w:tabs>
          <w:tab w:val="left" w:pos="272"/>
          <w:tab w:val="left" w:pos="412"/>
        </w:tabs>
        <w:spacing w:line="360" w:lineRule="exact"/>
        <w:ind w:firstLine="643"/>
        <w:jc w:val="center"/>
        <w:rPr>
          <w:b/>
          <w:kern w:val="0"/>
          <w:sz w:val="32"/>
        </w:rPr>
      </w:pPr>
    </w:p>
    <w:p>
      <w:pPr>
        <w:pStyle w:val="12"/>
        <w:tabs>
          <w:tab w:val="left" w:pos="272"/>
          <w:tab w:val="left" w:pos="412"/>
        </w:tabs>
        <w:spacing w:line="360" w:lineRule="exact"/>
        <w:ind w:firstLine="643"/>
        <w:jc w:val="center"/>
        <w:rPr>
          <w:b/>
          <w:kern w:val="0"/>
          <w:sz w:val="32"/>
        </w:rPr>
      </w:pPr>
    </w:p>
    <w:tbl>
      <w:tblPr>
        <w:tblStyle w:val="32"/>
        <w:tblW w:w="9206" w:type="dxa"/>
        <w:jc w:val="center"/>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8"/>
        <w:gridCol w:w="1088"/>
        <w:gridCol w:w="1680"/>
        <w:gridCol w:w="2000"/>
        <w:gridCol w:w="2144"/>
        <w:gridCol w:w="1206"/>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088" w:type="dxa"/>
            <w:vAlign w:val="center"/>
          </w:tcPr>
          <w:p>
            <w:pPr>
              <w:pStyle w:val="69"/>
              <w:jc w:val="center"/>
              <w:rPr>
                <w:rFonts w:ascii="Times New Roman" w:hAnsi="Times New Roman"/>
                <w:szCs w:val="21"/>
              </w:rPr>
            </w:pPr>
            <w:r>
              <w:rPr>
                <w:rFonts w:ascii="Times New Roman" w:hAnsi="宋体"/>
                <w:szCs w:val="21"/>
              </w:rPr>
              <w:t>类别</w:t>
            </w:r>
          </w:p>
        </w:tc>
        <w:tc>
          <w:tcPr>
            <w:tcW w:w="1088" w:type="dxa"/>
            <w:vAlign w:val="center"/>
          </w:tcPr>
          <w:p>
            <w:pPr>
              <w:pStyle w:val="69"/>
              <w:jc w:val="center"/>
              <w:rPr>
                <w:rFonts w:ascii="Times New Roman" w:hAnsi="Times New Roman"/>
                <w:szCs w:val="21"/>
              </w:rPr>
            </w:pPr>
            <w:r>
              <w:rPr>
                <w:rFonts w:ascii="Times New Roman" w:hAnsi="宋体"/>
                <w:szCs w:val="21"/>
              </w:rPr>
              <w:t>序</w:t>
            </w:r>
            <w:r>
              <w:rPr>
                <w:rFonts w:ascii="Times New Roman" w:hAnsi="Times New Roman"/>
                <w:szCs w:val="21"/>
              </w:rPr>
              <w:t xml:space="preserve"> </w:t>
            </w:r>
            <w:r>
              <w:rPr>
                <w:rFonts w:ascii="Times New Roman" w:hAnsi="宋体"/>
                <w:szCs w:val="21"/>
              </w:rPr>
              <w:t>号</w:t>
            </w:r>
          </w:p>
        </w:tc>
        <w:tc>
          <w:tcPr>
            <w:tcW w:w="1680" w:type="dxa"/>
            <w:vAlign w:val="center"/>
          </w:tcPr>
          <w:p>
            <w:pPr>
              <w:pStyle w:val="69"/>
              <w:jc w:val="center"/>
              <w:rPr>
                <w:rFonts w:ascii="Times New Roman" w:hAnsi="Times New Roman"/>
                <w:szCs w:val="21"/>
              </w:rPr>
            </w:pPr>
            <w:r>
              <w:rPr>
                <w:rFonts w:ascii="Times New Roman" w:hAnsi="宋体"/>
                <w:szCs w:val="21"/>
              </w:rPr>
              <w:t>内</w:t>
            </w:r>
            <w:r>
              <w:rPr>
                <w:rFonts w:ascii="Times New Roman" w:hAnsi="Times New Roman"/>
                <w:szCs w:val="21"/>
              </w:rPr>
              <w:t xml:space="preserve"> </w:t>
            </w:r>
            <w:r>
              <w:rPr>
                <w:rFonts w:ascii="Times New Roman" w:hAnsi="宋体"/>
                <w:szCs w:val="21"/>
              </w:rPr>
              <w:t>容</w:t>
            </w:r>
          </w:p>
        </w:tc>
        <w:tc>
          <w:tcPr>
            <w:tcW w:w="2000" w:type="dxa"/>
            <w:vAlign w:val="center"/>
          </w:tcPr>
          <w:p>
            <w:pPr>
              <w:pStyle w:val="69"/>
              <w:jc w:val="center"/>
              <w:rPr>
                <w:rFonts w:ascii="Times New Roman" w:hAnsi="Times New Roman"/>
                <w:szCs w:val="21"/>
              </w:rPr>
            </w:pPr>
            <w:r>
              <w:rPr>
                <w:rFonts w:ascii="Times New Roman" w:hAnsi="宋体"/>
                <w:szCs w:val="21"/>
              </w:rPr>
              <w:t>招标文件</w:t>
            </w:r>
          </w:p>
          <w:p>
            <w:pPr>
              <w:pStyle w:val="69"/>
              <w:jc w:val="center"/>
              <w:rPr>
                <w:rFonts w:ascii="Times New Roman" w:hAnsi="Times New Roman"/>
                <w:szCs w:val="21"/>
              </w:rPr>
            </w:pPr>
            <w:r>
              <w:rPr>
                <w:rFonts w:ascii="Times New Roman" w:hAnsi="宋体"/>
                <w:szCs w:val="21"/>
              </w:rPr>
              <w:t>规范要求</w:t>
            </w:r>
          </w:p>
        </w:tc>
        <w:tc>
          <w:tcPr>
            <w:tcW w:w="2144" w:type="dxa"/>
            <w:vAlign w:val="center"/>
          </w:tcPr>
          <w:p>
            <w:pPr>
              <w:pStyle w:val="69"/>
              <w:jc w:val="center"/>
              <w:rPr>
                <w:rFonts w:ascii="Times New Roman" w:hAnsi="Times New Roman"/>
                <w:szCs w:val="21"/>
              </w:rPr>
            </w:pPr>
            <w:r>
              <w:rPr>
                <w:rFonts w:ascii="Times New Roman" w:hAnsi="宋体"/>
                <w:szCs w:val="21"/>
              </w:rPr>
              <w:t>投标文件</w:t>
            </w:r>
          </w:p>
          <w:p>
            <w:pPr>
              <w:pStyle w:val="69"/>
              <w:jc w:val="center"/>
              <w:rPr>
                <w:rFonts w:ascii="Times New Roman" w:hAnsi="Times New Roman"/>
                <w:szCs w:val="21"/>
              </w:rPr>
            </w:pPr>
            <w:r>
              <w:rPr>
                <w:rFonts w:ascii="Times New Roman" w:hAnsi="宋体"/>
                <w:szCs w:val="21"/>
              </w:rPr>
              <w:t>对应内容</w:t>
            </w:r>
          </w:p>
        </w:tc>
        <w:tc>
          <w:tcPr>
            <w:tcW w:w="1206" w:type="dxa"/>
            <w:vAlign w:val="center"/>
          </w:tcPr>
          <w:p>
            <w:pPr>
              <w:pStyle w:val="69"/>
              <w:jc w:val="center"/>
              <w:rPr>
                <w:rFonts w:ascii="Times New Roman" w:hAnsi="Times New Roman"/>
                <w:szCs w:val="21"/>
              </w:rPr>
            </w:pPr>
            <w:r>
              <w:rPr>
                <w:rFonts w:ascii="Times New Roman" w:hAnsi="宋体"/>
                <w:szCs w:val="21"/>
              </w:rPr>
              <w:t>备</w:t>
            </w:r>
            <w:r>
              <w:rPr>
                <w:rFonts w:ascii="Times New Roman" w:hAnsi="Times New Roman"/>
                <w:szCs w:val="21"/>
              </w:rPr>
              <w:t xml:space="preserve"> </w:t>
            </w:r>
            <w:r>
              <w:rPr>
                <w:rFonts w:ascii="Times New Roman" w:hAnsi="宋体"/>
                <w:szCs w:val="21"/>
              </w:rPr>
              <w:t>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088" w:type="dxa"/>
            <w:vMerge w:val="restart"/>
            <w:vAlign w:val="center"/>
          </w:tcPr>
          <w:p>
            <w:pPr>
              <w:pStyle w:val="69"/>
              <w:spacing w:line="360" w:lineRule="auto"/>
              <w:jc w:val="center"/>
              <w:rPr>
                <w:rFonts w:ascii="Times New Roman" w:hAnsi="Times New Roman"/>
                <w:szCs w:val="21"/>
              </w:rPr>
            </w:pPr>
            <w:r>
              <w:rPr>
                <w:rFonts w:ascii="Times New Roman" w:hAnsi="宋体"/>
                <w:szCs w:val="21"/>
              </w:rPr>
              <w:t>技</w:t>
            </w:r>
          </w:p>
          <w:p>
            <w:pPr>
              <w:pStyle w:val="69"/>
              <w:spacing w:line="360" w:lineRule="auto"/>
              <w:jc w:val="center"/>
              <w:rPr>
                <w:rFonts w:ascii="Times New Roman" w:hAnsi="Times New Roman"/>
                <w:szCs w:val="21"/>
              </w:rPr>
            </w:pPr>
            <w:r>
              <w:rPr>
                <w:rFonts w:ascii="Times New Roman" w:hAnsi="宋体"/>
                <w:szCs w:val="21"/>
              </w:rPr>
              <w:t>术</w:t>
            </w:r>
          </w:p>
          <w:p>
            <w:pPr>
              <w:pStyle w:val="69"/>
              <w:spacing w:line="360" w:lineRule="auto"/>
              <w:jc w:val="center"/>
              <w:rPr>
                <w:rFonts w:ascii="Times New Roman" w:hAnsi="Times New Roman"/>
                <w:szCs w:val="21"/>
              </w:rPr>
            </w:pPr>
            <w:r>
              <w:rPr>
                <w:rFonts w:ascii="Times New Roman" w:hAnsi="宋体"/>
                <w:szCs w:val="21"/>
              </w:rPr>
              <w:t>偏</w:t>
            </w:r>
          </w:p>
          <w:p>
            <w:pPr>
              <w:pStyle w:val="69"/>
              <w:spacing w:line="360" w:lineRule="auto"/>
              <w:jc w:val="center"/>
              <w:rPr>
                <w:rFonts w:ascii="Times New Roman" w:hAnsi="Times New Roman"/>
                <w:szCs w:val="21"/>
              </w:rPr>
            </w:pPr>
            <w:r>
              <w:rPr>
                <w:rFonts w:ascii="Times New Roman" w:hAnsi="宋体"/>
                <w:szCs w:val="21"/>
              </w:rPr>
              <w:t>离</w:t>
            </w:r>
          </w:p>
        </w:tc>
        <w:tc>
          <w:tcPr>
            <w:tcW w:w="1088" w:type="dxa"/>
          </w:tcPr>
          <w:p>
            <w:pPr>
              <w:pStyle w:val="69"/>
              <w:spacing w:line="360" w:lineRule="auto"/>
              <w:jc w:val="center"/>
              <w:rPr>
                <w:rFonts w:ascii="Times New Roman" w:hAnsi="Times New Roman"/>
                <w:szCs w:val="21"/>
              </w:rPr>
            </w:pPr>
          </w:p>
        </w:tc>
        <w:tc>
          <w:tcPr>
            <w:tcW w:w="1680" w:type="dxa"/>
          </w:tcPr>
          <w:p>
            <w:pPr>
              <w:pStyle w:val="69"/>
              <w:spacing w:line="360" w:lineRule="auto"/>
              <w:jc w:val="center"/>
              <w:rPr>
                <w:rFonts w:ascii="Times New Roman" w:hAnsi="Times New Roman"/>
                <w:szCs w:val="21"/>
              </w:rPr>
            </w:pPr>
          </w:p>
        </w:tc>
        <w:tc>
          <w:tcPr>
            <w:tcW w:w="2000" w:type="dxa"/>
          </w:tcPr>
          <w:p>
            <w:pPr>
              <w:pStyle w:val="69"/>
              <w:spacing w:line="360" w:lineRule="auto"/>
              <w:jc w:val="center"/>
              <w:rPr>
                <w:rFonts w:ascii="Times New Roman" w:hAnsi="Times New Roman"/>
                <w:szCs w:val="21"/>
              </w:rPr>
            </w:pPr>
          </w:p>
        </w:tc>
        <w:tc>
          <w:tcPr>
            <w:tcW w:w="2144" w:type="dxa"/>
          </w:tcPr>
          <w:p>
            <w:pPr>
              <w:pStyle w:val="69"/>
              <w:spacing w:line="360" w:lineRule="auto"/>
              <w:jc w:val="center"/>
              <w:rPr>
                <w:rFonts w:ascii="Times New Roman" w:hAnsi="Times New Roman"/>
                <w:szCs w:val="21"/>
              </w:rPr>
            </w:pPr>
          </w:p>
        </w:tc>
        <w:tc>
          <w:tcPr>
            <w:tcW w:w="1206" w:type="dxa"/>
          </w:tcPr>
          <w:p>
            <w:pPr>
              <w:pStyle w:val="69"/>
              <w:spacing w:line="360" w:lineRule="auto"/>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088" w:type="dxa"/>
            <w:vMerge w:val="continue"/>
          </w:tcPr>
          <w:p>
            <w:pPr>
              <w:pStyle w:val="69"/>
              <w:spacing w:line="360" w:lineRule="auto"/>
              <w:jc w:val="center"/>
              <w:rPr>
                <w:rFonts w:ascii="Times New Roman" w:hAnsi="Times New Roman"/>
                <w:szCs w:val="21"/>
              </w:rPr>
            </w:pPr>
          </w:p>
        </w:tc>
        <w:tc>
          <w:tcPr>
            <w:tcW w:w="1088" w:type="dxa"/>
          </w:tcPr>
          <w:p>
            <w:pPr>
              <w:pStyle w:val="69"/>
              <w:spacing w:line="360" w:lineRule="auto"/>
              <w:jc w:val="center"/>
              <w:rPr>
                <w:rFonts w:ascii="Times New Roman" w:hAnsi="Times New Roman"/>
                <w:szCs w:val="21"/>
              </w:rPr>
            </w:pPr>
          </w:p>
        </w:tc>
        <w:tc>
          <w:tcPr>
            <w:tcW w:w="1680" w:type="dxa"/>
          </w:tcPr>
          <w:p>
            <w:pPr>
              <w:pStyle w:val="69"/>
              <w:spacing w:line="360" w:lineRule="auto"/>
              <w:jc w:val="center"/>
              <w:rPr>
                <w:rFonts w:ascii="Times New Roman" w:hAnsi="Times New Roman"/>
                <w:szCs w:val="21"/>
              </w:rPr>
            </w:pPr>
          </w:p>
        </w:tc>
        <w:tc>
          <w:tcPr>
            <w:tcW w:w="2000" w:type="dxa"/>
          </w:tcPr>
          <w:p>
            <w:pPr>
              <w:pStyle w:val="69"/>
              <w:spacing w:line="360" w:lineRule="auto"/>
              <w:jc w:val="center"/>
              <w:rPr>
                <w:rFonts w:ascii="Times New Roman" w:hAnsi="Times New Roman"/>
                <w:szCs w:val="21"/>
              </w:rPr>
            </w:pPr>
          </w:p>
        </w:tc>
        <w:tc>
          <w:tcPr>
            <w:tcW w:w="2144" w:type="dxa"/>
          </w:tcPr>
          <w:p>
            <w:pPr>
              <w:pStyle w:val="69"/>
              <w:spacing w:line="360" w:lineRule="auto"/>
              <w:jc w:val="center"/>
              <w:rPr>
                <w:rFonts w:ascii="Times New Roman" w:hAnsi="Times New Roman"/>
                <w:szCs w:val="21"/>
              </w:rPr>
            </w:pPr>
          </w:p>
        </w:tc>
        <w:tc>
          <w:tcPr>
            <w:tcW w:w="1206" w:type="dxa"/>
          </w:tcPr>
          <w:p>
            <w:pPr>
              <w:pStyle w:val="69"/>
              <w:spacing w:line="360" w:lineRule="auto"/>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PrEx>
        <w:trPr>
          <w:cantSplit/>
          <w:jc w:val="center"/>
        </w:trPr>
        <w:tc>
          <w:tcPr>
            <w:tcW w:w="1088" w:type="dxa"/>
            <w:vMerge w:val="continue"/>
          </w:tcPr>
          <w:p>
            <w:pPr>
              <w:pStyle w:val="69"/>
              <w:spacing w:line="360" w:lineRule="auto"/>
              <w:jc w:val="center"/>
              <w:rPr>
                <w:rFonts w:ascii="Times New Roman" w:hAnsi="Times New Roman"/>
                <w:szCs w:val="21"/>
              </w:rPr>
            </w:pPr>
          </w:p>
        </w:tc>
        <w:tc>
          <w:tcPr>
            <w:tcW w:w="1088" w:type="dxa"/>
          </w:tcPr>
          <w:p>
            <w:pPr>
              <w:pStyle w:val="69"/>
              <w:spacing w:line="360" w:lineRule="auto"/>
              <w:jc w:val="center"/>
              <w:rPr>
                <w:rFonts w:ascii="Times New Roman" w:hAnsi="Times New Roman"/>
                <w:szCs w:val="21"/>
              </w:rPr>
            </w:pPr>
          </w:p>
        </w:tc>
        <w:tc>
          <w:tcPr>
            <w:tcW w:w="1680" w:type="dxa"/>
          </w:tcPr>
          <w:p>
            <w:pPr>
              <w:pStyle w:val="69"/>
              <w:spacing w:line="360" w:lineRule="auto"/>
              <w:jc w:val="center"/>
              <w:rPr>
                <w:rFonts w:ascii="Times New Roman" w:hAnsi="Times New Roman"/>
                <w:szCs w:val="21"/>
              </w:rPr>
            </w:pPr>
          </w:p>
        </w:tc>
        <w:tc>
          <w:tcPr>
            <w:tcW w:w="2000" w:type="dxa"/>
          </w:tcPr>
          <w:p>
            <w:pPr>
              <w:pStyle w:val="69"/>
              <w:spacing w:line="360" w:lineRule="auto"/>
              <w:jc w:val="center"/>
              <w:rPr>
                <w:rFonts w:ascii="Times New Roman" w:hAnsi="Times New Roman"/>
                <w:szCs w:val="21"/>
              </w:rPr>
            </w:pPr>
          </w:p>
        </w:tc>
        <w:tc>
          <w:tcPr>
            <w:tcW w:w="2144" w:type="dxa"/>
          </w:tcPr>
          <w:p>
            <w:pPr>
              <w:pStyle w:val="69"/>
              <w:spacing w:line="360" w:lineRule="auto"/>
              <w:jc w:val="center"/>
              <w:rPr>
                <w:rFonts w:ascii="Times New Roman" w:hAnsi="Times New Roman"/>
                <w:szCs w:val="21"/>
              </w:rPr>
            </w:pPr>
          </w:p>
        </w:tc>
        <w:tc>
          <w:tcPr>
            <w:tcW w:w="1206" w:type="dxa"/>
          </w:tcPr>
          <w:p>
            <w:pPr>
              <w:pStyle w:val="69"/>
              <w:spacing w:line="360" w:lineRule="auto"/>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088" w:type="dxa"/>
            <w:vMerge w:val="continue"/>
          </w:tcPr>
          <w:p>
            <w:pPr>
              <w:pStyle w:val="69"/>
              <w:spacing w:line="360" w:lineRule="auto"/>
              <w:jc w:val="center"/>
              <w:rPr>
                <w:rFonts w:ascii="Times New Roman" w:hAnsi="Times New Roman"/>
                <w:szCs w:val="21"/>
              </w:rPr>
            </w:pPr>
          </w:p>
        </w:tc>
        <w:tc>
          <w:tcPr>
            <w:tcW w:w="1088" w:type="dxa"/>
          </w:tcPr>
          <w:p>
            <w:pPr>
              <w:pStyle w:val="69"/>
              <w:spacing w:line="360" w:lineRule="auto"/>
              <w:jc w:val="center"/>
              <w:rPr>
                <w:rFonts w:ascii="Times New Roman" w:hAnsi="Times New Roman"/>
                <w:szCs w:val="21"/>
              </w:rPr>
            </w:pPr>
          </w:p>
        </w:tc>
        <w:tc>
          <w:tcPr>
            <w:tcW w:w="1680" w:type="dxa"/>
          </w:tcPr>
          <w:p>
            <w:pPr>
              <w:pStyle w:val="69"/>
              <w:spacing w:line="360" w:lineRule="auto"/>
              <w:jc w:val="center"/>
              <w:rPr>
                <w:rFonts w:ascii="Times New Roman" w:hAnsi="Times New Roman"/>
                <w:szCs w:val="21"/>
              </w:rPr>
            </w:pPr>
          </w:p>
        </w:tc>
        <w:tc>
          <w:tcPr>
            <w:tcW w:w="2000" w:type="dxa"/>
          </w:tcPr>
          <w:p>
            <w:pPr>
              <w:pStyle w:val="69"/>
              <w:spacing w:line="360" w:lineRule="auto"/>
              <w:jc w:val="center"/>
              <w:rPr>
                <w:rFonts w:ascii="Times New Roman" w:hAnsi="Times New Roman"/>
                <w:szCs w:val="21"/>
              </w:rPr>
            </w:pPr>
          </w:p>
        </w:tc>
        <w:tc>
          <w:tcPr>
            <w:tcW w:w="2144" w:type="dxa"/>
          </w:tcPr>
          <w:p>
            <w:pPr>
              <w:pStyle w:val="69"/>
              <w:spacing w:line="360" w:lineRule="auto"/>
              <w:jc w:val="center"/>
              <w:rPr>
                <w:rFonts w:ascii="Times New Roman" w:hAnsi="Times New Roman"/>
                <w:szCs w:val="21"/>
              </w:rPr>
            </w:pPr>
          </w:p>
        </w:tc>
        <w:tc>
          <w:tcPr>
            <w:tcW w:w="1206" w:type="dxa"/>
          </w:tcPr>
          <w:p>
            <w:pPr>
              <w:pStyle w:val="69"/>
              <w:spacing w:line="360" w:lineRule="auto"/>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088" w:type="dxa"/>
            <w:vMerge w:val="continue"/>
          </w:tcPr>
          <w:p>
            <w:pPr>
              <w:pStyle w:val="69"/>
              <w:spacing w:line="360" w:lineRule="auto"/>
              <w:jc w:val="center"/>
              <w:rPr>
                <w:rFonts w:ascii="Times New Roman" w:hAnsi="Times New Roman"/>
                <w:szCs w:val="21"/>
              </w:rPr>
            </w:pPr>
          </w:p>
        </w:tc>
        <w:tc>
          <w:tcPr>
            <w:tcW w:w="1088" w:type="dxa"/>
          </w:tcPr>
          <w:p>
            <w:pPr>
              <w:pStyle w:val="69"/>
              <w:spacing w:line="360" w:lineRule="auto"/>
              <w:jc w:val="center"/>
              <w:rPr>
                <w:rFonts w:ascii="Times New Roman" w:hAnsi="Times New Roman"/>
                <w:szCs w:val="21"/>
              </w:rPr>
            </w:pPr>
          </w:p>
        </w:tc>
        <w:tc>
          <w:tcPr>
            <w:tcW w:w="1680" w:type="dxa"/>
          </w:tcPr>
          <w:p>
            <w:pPr>
              <w:pStyle w:val="69"/>
              <w:spacing w:line="360" w:lineRule="auto"/>
              <w:jc w:val="center"/>
              <w:rPr>
                <w:rFonts w:ascii="Times New Roman" w:hAnsi="Times New Roman"/>
                <w:szCs w:val="21"/>
              </w:rPr>
            </w:pPr>
          </w:p>
        </w:tc>
        <w:tc>
          <w:tcPr>
            <w:tcW w:w="2000" w:type="dxa"/>
          </w:tcPr>
          <w:p>
            <w:pPr>
              <w:pStyle w:val="69"/>
              <w:spacing w:line="360" w:lineRule="auto"/>
              <w:jc w:val="center"/>
              <w:rPr>
                <w:rFonts w:ascii="Times New Roman" w:hAnsi="Times New Roman"/>
                <w:szCs w:val="21"/>
              </w:rPr>
            </w:pPr>
          </w:p>
        </w:tc>
        <w:tc>
          <w:tcPr>
            <w:tcW w:w="2144" w:type="dxa"/>
          </w:tcPr>
          <w:p>
            <w:pPr>
              <w:pStyle w:val="69"/>
              <w:spacing w:line="360" w:lineRule="auto"/>
              <w:jc w:val="center"/>
              <w:rPr>
                <w:rFonts w:ascii="Times New Roman" w:hAnsi="Times New Roman"/>
                <w:szCs w:val="21"/>
              </w:rPr>
            </w:pPr>
          </w:p>
        </w:tc>
        <w:tc>
          <w:tcPr>
            <w:tcW w:w="1206" w:type="dxa"/>
          </w:tcPr>
          <w:p>
            <w:pPr>
              <w:pStyle w:val="69"/>
              <w:spacing w:line="360" w:lineRule="auto"/>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088" w:type="dxa"/>
            <w:vMerge w:val="continue"/>
          </w:tcPr>
          <w:p>
            <w:pPr>
              <w:pStyle w:val="69"/>
              <w:spacing w:line="360" w:lineRule="auto"/>
              <w:jc w:val="center"/>
              <w:rPr>
                <w:rFonts w:ascii="Times New Roman" w:hAnsi="Times New Roman"/>
                <w:szCs w:val="21"/>
              </w:rPr>
            </w:pPr>
          </w:p>
        </w:tc>
        <w:tc>
          <w:tcPr>
            <w:tcW w:w="1088" w:type="dxa"/>
          </w:tcPr>
          <w:p>
            <w:pPr>
              <w:pStyle w:val="69"/>
              <w:spacing w:line="360" w:lineRule="auto"/>
              <w:jc w:val="center"/>
              <w:rPr>
                <w:rFonts w:ascii="Times New Roman" w:hAnsi="Times New Roman"/>
                <w:szCs w:val="21"/>
              </w:rPr>
            </w:pPr>
          </w:p>
        </w:tc>
        <w:tc>
          <w:tcPr>
            <w:tcW w:w="1680" w:type="dxa"/>
          </w:tcPr>
          <w:p>
            <w:pPr>
              <w:pStyle w:val="69"/>
              <w:spacing w:line="360" w:lineRule="auto"/>
              <w:jc w:val="center"/>
              <w:rPr>
                <w:rFonts w:ascii="Times New Roman" w:hAnsi="Times New Roman"/>
                <w:szCs w:val="21"/>
              </w:rPr>
            </w:pPr>
          </w:p>
        </w:tc>
        <w:tc>
          <w:tcPr>
            <w:tcW w:w="2000" w:type="dxa"/>
          </w:tcPr>
          <w:p>
            <w:pPr>
              <w:pStyle w:val="69"/>
              <w:spacing w:line="360" w:lineRule="auto"/>
              <w:jc w:val="center"/>
              <w:rPr>
                <w:rFonts w:ascii="Times New Roman" w:hAnsi="Times New Roman"/>
                <w:szCs w:val="21"/>
              </w:rPr>
            </w:pPr>
          </w:p>
        </w:tc>
        <w:tc>
          <w:tcPr>
            <w:tcW w:w="2144" w:type="dxa"/>
          </w:tcPr>
          <w:p>
            <w:pPr>
              <w:pStyle w:val="69"/>
              <w:spacing w:line="360" w:lineRule="auto"/>
              <w:jc w:val="center"/>
              <w:rPr>
                <w:rFonts w:ascii="Times New Roman" w:hAnsi="Times New Roman"/>
                <w:szCs w:val="21"/>
              </w:rPr>
            </w:pPr>
          </w:p>
        </w:tc>
        <w:tc>
          <w:tcPr>
            <w:tcW w:w="1206" w:type="dxa"/>
          </w:tcPr>
          <w:p>
            <w:pPr>
              <w:pStyle w:val="69"/>
              <w:spacing w:line="360" w:lineRule="auto"/>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PrEx>
        <w:trPr>
          <w:cantSplit/>
          <w:jc w:val="center"/>
        </w:trPr>
        <w:tc>
          <w:tcPr>
            <w:tcW w:w="1088" w:type="dxa"/>
            <w:vMerge w:val="continue"/>
          </w:tcPr>
          <w:p>
            <w:pPr>
              <w:pStyle w:val="69"/>
              <w:spacing w:line="360" w:lineRule="auto"/>
              <w:jc w:val="center"/>
              <w:rPr>
                <w:rFonts w:ascii="Times New Roman" w:hAnsi="Times New Roman"/>
                <w:szCs w:val="21"/>
              </w:rPr>
            </w:pPr>
          </w:p>
        </w:tc>
        <w:tc>
          <w:tcPr>
            <w:tcW w:w="1088" w:type="dxa"/>
          </w:tcPr>
          <w:p>
            <w:pPr>
              <w:pStyle w:val="69"/>
              <w:spacing w:line="360" w:lineRule="auto"/>
              <w:jc w:val="center"/>
              <w:rPr>
                <w:rFonts w:ascii="Times New Roman" w:hAnsi="Times New Roman"/>
                <w:szCs w:val="21"/>
              </w:rPr>
            </w:pPr>
          </w:p>
        </w:tc>
        <w:tc>
          <w:tcPr>
            <w:tcW w:w="1680" w:type="dxa"/>
          </w:tcPr>
          <w:p>
            <w:pPr>
              <w:pStyle w:val="69"/>
              <w:spacing w:line="360" w:lineRule="auto"/>
              <w:jc w:val="center"/>
              <w:rPr>
                <w:rFonts w:ascii="Times New Roman" w:hAnsi="Times New Roman"/>
                <w:szCs w:val="21"/>
              </w:rPr>
            </w:pPr>
          </w:p>
        </w:tc>
        <w:tc>
          <w:tcPr>
            <w:tcW w:w="2000" w:type="dxa"/>
          </w:tcPr>
          <w:p>
            <w:pPr>
              <w:pStyle w:val="69"/>
              <w:spacing w:line="360" w:lineRule="auto"/>
              <w:jc w:val="center"/>
              <w:rPr>
                <w:rFonts w:ascii="Times New Roman" w:hAnsi="Times New Roman"/>
                <w:szCs w:val="21"/>
              </w:rPr>
            </w:pPr>
          </w:p>
        </w:tc>
        <w:tc>
          <w:tcPr>
            <w:tcW w:w="2144" w:type="dxa"/>
          </w:tcPr>
          <w:p>
            <w:pPr>
              <w:pStyle w:val="69"/>
              <w:spacing w:line="360" w:lineRule="auto"/>
              <w:jc w:val="center"/>
              <w:rPr>
                <w:rFonts w:ascii="Times New Roman" w:hAnsi="Times New Roman"/>
                <w:szCs w:val="21"/>
              </w:rPr>
            </w:pPr>
          </w:p>
        </w:tc>
        <w:tc>
          <w:tcPr>
            <w:tcW w:w="1206" w:type="dxa"/>
          </w:tcPr>
          <w:p>
            <w:pPr>
              <w:pStyle w:val="69"/>
              <w:spacing w:line="360" w:lineRule="auto"/>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088" w:type="dxa"/>
            <w:vMerge w:val="continue"/>
          </w:tcPr>
          <w:p>
            <w:pPr>
              <w:pStyle w:val="69"/>
              <w:spacing w:line="360" w:lineRule="auto"/>
              <w:jc w:val="center"/>
              <w:rPr>
                <w:rFonts w:ascii="Times New Roman" w:hAnsi="Times New Roman"/>
                <w:szCs w:val="21"/>
              </w:rPr>
            </w:pPr>
          </w:p>
        </w:tc>
        <w:tc>
          <w:tcPr>
            <w:tcW w:w="1088" w:type="dxa"/>
          </w:tcPr>
          <w:p>
            <w:pPr>
              <w:pStyle w:val="69"/>
              <w:spacing w:line="360" w:lineRule="auto"/>
              <w:jc w:val="center"/>
              <w:rPr>
                <w:rFonts w:ascii="Times New Roman" w:hAnsi="Times New Roman"/>
                <w:szCs w:val="21"/>
              </w:rPr>
            </w:pPr>
          </w:p>
        </w:tc>
        <w:tc>
          <w:tcPr>
            <w:tcW w:w="1680" w:type="dxa"/>
          </w:tcPr>
          <w:p>
            <w:pPr>
              <w:pStyle w:val="69"/>
              <w:spacing w:line="360" w:lineRule="auto"/>
              <w:jc w:val="center"/>
              <w:rPr>
                <w:rFonts w:ascii="Times New Roman" w:hAnsi="Times New Roman"/>
                <w:szCs w:val="21"/>
              </w:rPr>
            </w:pPr>
          </w:p>
        </w:tc>
        <w:tc>
          <w:tcPr>
            <w:tcW w:w="2000" w:type="dxa"/>
          </w:tcPr>
          <w:p>
            <w:pPr>
              <w:pStyle w:val="69"/>
              <w:spacing w:line="360" w:lineRule="auto"/>
              <w:jc w:val="center"/>
              <w:rPr>
                <w:rFonts w:ascii="Times New Roman" w:hAnsi="Times New Roman"/>
                <w:szCs w:val="21"/>
              </w:rPr>
            </w:pPr>
          </w:p>
        </w:tc>
        <w:tc>
          <w:tcPr>
            <w:tcW w:w="2144" w:type="dxa"/>
          </w:tcPr>
          <w:p>
            <w:pPr>
              <w:pStyle w:val="69"/>
              <w:spacing w:line="360" w:lineRule="auto"/>
              <w:jc w:val="center"/>
              <w:rPr>
                <w:rFonts w:ascii="Times New Roman" w:hAnsi="Times New Roman"/>
                <w:szCs w:val="21"/>
              </w:rPr>
            </w:pPr>
          </w:p>
        </w:tc>
        <w:tc>
          <w:tcPr>
            <w:tcW w:w="1206" w:type="dxa"/>
          </w:tcPr>
          <w:p>
            <w:pPr>
              <w:pStyle w:val="69"/>
              <w:spacing w:line="360" w:lineRule="auto"/>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088" w:type="dxa"/>
            <w:vMerge w:val="continue"/>
          </w:tcPr>
          <w:p>
            <w:pPr>
              <w:pStyle w:val="69"/>
              <w:spacing w:line="360" w:lineRule="auto"/>
              <w:jc w:val="center"/>
              <w:rPr>
                <w:rFonts w:ascii="Times New Roman" w:hAnsi="Times New Roman"/>
                <w:szCs w:val="21"/>
              </w:rPr>
            </w:pPr>
          </w:p>
        </w:tc>
        <w:tc>
          <w:tcPr>
            <w:tcW w:w="1088" w:type="dxa"/>
          </w:tcPr>
          <w:p>
            <w:pPr>
              <w:pStyle w:val="69"/>
              <w:spacing w:line="360" w:lineRule="auto"/>
              <w:jc w:val="center"/>
              <w:rPr>
                <w:rFonts w:ascii="Times New Roman" w:hAnsi="Times New Roman"/>
                <w:szCs w:val="21"/>
              </w:rPr>
            </w:pPr>
          </w:p>
        </w:tc>
        <w:tc>
          <w:tcPr>
            <w:tcW w:w="1680" w:type="dxa"/>
          </w:tcPr>
          <w:p>
            <w:pPr>
              <w:pStyle w:val="69"/>
              <w:spacing w:line="360" w:lineRule="auto"/>
              <w:jc w:val="center"/>
              <w:rPr>
                <w:rFonts w:ascii="Times New Roman" w:hAnsi="Times New Roman"/>
                <w:szCs w:val="21"/>
              </w:rPr>
            </w:pPr>
          </w:p>
        </w:tc>
        <w:tc>
          <w:tcPr>
            <w:tcW w:w="2000" w:type="dxa"/>
          </w:tcPr>
          <w:p>
            <w:pPr>
              <w:pStyle w:val="69"/>
              <w:spacing w:line="360" w:lineRule="auto"/>
              <w:jc w:val="center"/>
              <w:rPr>
                <w:rFonts w:ascii="Times New Roman" w:hAnsi="Times New Roman"/>
                <w:szCs w:val="21"/>
              </w:rPr>
            </w:pPr>
          </w:p>
        </w:tc>
        <w:tc>
          <w:tcPr>
            <w:tcW w:w="2144" w:type="dxa"/>
          </w:tcPr>
          <w:p>
            <w:pPr>
              <w:pStyle w:val="69"/>
              <w:spacing w:line="360" w:lineRule="auto"/>
              <w:jc w:val="center"/>
              <w:rPr>
                <w:rFonts w:ascii="Times New Roman" w:hAnsi="Times New Roman"/>
                <w:szCs w:val="21"/>
              </w:rPr>
            </w:pPr>
          </w:p>
        </w:tc>
        <w:tc>
          <w:tcPr>
            <w:tcW w:w="1206" w:type="dxa"/>
          </w:tcPr>
          <w:p>
            <w:pPr>
              <w:pStyle w:val="69"/>
              <w:spacing w:line="360" w:lineRule="auto"/>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088" w:type="dxa"/>
            <w:vMerge w:val="continue"/>
            <w:vAlign w:val="center"/>
          </w:tcPr>
          <w:p>
            <w:pPr>
              <w:pStyle w:val="69"/>
              <w:spacing w:line="360" w:lineRule="auto"/>
              <w:jc w:val="center"/>
              <w:rPr>
                <w:rFonts w:ascii="Times New Roman" w:hAnsi="Times New Roman"/>
                <w:szCs w:val="21"/>
              </w:rPr>
            </w:pPr>
          </w:p>
        </w:tc>
        <w:tc>
          <w:tcPr>
            <w:tcW w:w="1088" w:type="dxa"/>
          </w:tcPr>
          <w:p>
            <w:pPr>
              <w:pStyle w:val="69"/>
              <w:spacing w:line="360" w:lineRule="auto"/>
              <w:jc w:val="center"/>
              <w:rPr>
                <w:rFonts w:ascii="Times New Roman" w:hAnsi="Times New Roman"/>
                <w:szCs w:val="21"/>
              </w:rPr>
            </w:pPr>
          </w:p>
        </w:tc>
        <w:tc>
          <w:tcPr>
            <w:tcW w:w="1680" w:type="dxa"/>
          </w:tcPr>
          <w:p>
            <w:pPr>
              <w:pStyle w:val="69"/>
              <w:spacing w:line="360" w:lineRule="auto"/>
              <w:jc w:val="center"/>
              <w:rPr>
                <w:rFonts w:ascii="Times New Roman" w:hAnsi="Times New Roman"/>
                <w:szCs w:val="21"/>
              </w:rPr>
            </w:pPr>
          </w:p>
        </w:tc>
        <w:tc>
          <w:tcPr>
            <w:tcW w:w="2000" w:type="dxa"/>
          </w:tcPr>
          <w:p>
            <w:pPr>
              <w:pStyle w:val="69"/>
              <w:spacing w:line="360" w:lineRule="auto"/>
              <w:jc w:val="center"/>
              <w:rPr>
                <w:rFonts w:ascii="Times New Roman" w:hAnsi="Times New Roman"/>
                <w:szCs w:val="21"/>
              </w:rPr>
            </w:pPr>
          </w:p>
        </w:tc>
        <w:tc>
          <w:tcPr>
            <w:tcW w:w="2144" w:type="dxa"/>
          </w:tcPr>
          <w:p>
            <w:pPr>
              <w:pStyle w:val="69"/>
              <w:spacing w:line="360" w:lineRule="auto"/>
              <w:jc w:val="center"/>
              <w:rPr>
                <w:rFonts w:ascii="Times New Roman" w:hAnsi="Times New Roman"/>
                <w:szCs w:val="21"/>
              </w:rPr>
            </w:pPr>
          </w:p>
        </w:tc>
        <w:tc>
          <w:tcPr>
            <w:tcW w:w="1206" w:type="dxa"/>
          </w:tcPr>
          <w:p>
            <w:pPr>
              <w:pStyle w:val="69"/>
              <w:spacing w:line="360" w:lineRule="auto"/>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PrEx>
        <w:trPr>
          <w:cantSplit/>
          <w:jc w:val="center"/>
        </w:trPr>
        <w:tc>
          <w:tcPr>
            <w:tcW w:w="1088" w:type="dxa"/>
            <w:vMerge w:val="continue"/>
          </w:tcPr>
          <w:p>
            <w:pPr>
              <w:pStyle w:val="69"/>
              <w:spacing w:line="360" w:lineRule="auto"/>
              <w:jc w:val="center"/>
              <w:rPr>
                <w:rFonts w:ascii="Times New Roman" w:hAnsi="Times New Roman"/>
                <w:szCs w:val="21"/>
              </w:rPr>
            </w:pPr>
          </w:p>
        </w:tc>
        <w:tc>
          <w:tcPr>
            <w:tcW w:w="1088" w:type="dxa"/>
          </w:tcPr>
          <w:p>
            <w:pPr>
              <w:pStyle w:val="69"/>
              <w:spacing w:line="360" w:lineRule="auto"/>
              <w:jc w:val="center"/>
              <w:rPr>
                <w:rFonts w:ascii="Times New Roman" w:hAnsi="Times New Roman"/>
                <w:szCs w:val="21"/>
              </w:rPr>
            </w:pPr>
          </w:p>
        </w:tc>
        <w:tc>
          <w:tcPr>
            <w:tcW w:w="1680" w:type="dxa"/>
          </w:tcPr>
          <w:p>
            <w:pPr>
              <w:pStyle w:val="69"/>
              <w:spacing w:line="360" w:lineRule="auto"/>
              <w:jc w:val="center"/>
              <w:rPr>
                <w:rFonts w:ascii="Times New Roman" w:hAnsi="Times New Roman"/>
                <w:szCs w:val="21"/>
              </w:rPr>
            </w:pPr>
          </w:p>
        </w:tc>
        <w:tc>
          <w:tcPr>
            <w:tcW w:w="2000" w:type="dxa"/>
          </w:tcPr>
          <w:p>
            <w:pPr>
              <w:pStyle w:val="69"/>
              <w:spacing w:line="360" w:lineRule="auto"/>
              <w:jc w:val="center"/>
              <w:rPr>
                <w:rFonts w:ascii="Times New Roman" w:hAnsi="Times New Roman"/>
                <w:szCs w:val="21"/>
              </w:rPr>
            </w:pPr>
          </w:p>
        </w:tc>
        <w:tc>
          <w:tcPr>
            <w:tcW w:w="2144" w:type="dxa"/>
          </w:tcPr>
          <w:p>
            <w:pPr>
              <w:pStyle w:val="69"/>
              <w:spacing w:line="360" w:lineRule="auto"/>
              <w:jc w:val="center"/>
              <w:rPr>
                <w:rFonts w:ascii="Times New Roman" w:hAnsi="Times New Roman"/>
                <w:szCs w:val="21"/>
              </w:rPr>
            </w:pPr>
          </w:p>
        </w:tc>
        <w:tc>
          <w:tcPr>
            <w:tcW w:w="1206" w:type="dxa"/>
          </w:tcPr>
          <w:p>
            <w:pPr>
              <w:pStyle w:val="69"/>
              <w:spacing w:line="360" w:lineRule="auto"/>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088" w:type="dxa"/>
            <w:vMerge w:val="continue"/>
          </w:tcPr>
          <w:p>
            <w:pPr>
              <w:pStyle w:val="69"/>
              <w:spacing w:line="360" w:lineRule="auto"/>
              <w:jc w:val="center"/>
              <w:rPr>
                <w:rFonts w:ascii="Times New Roman" w:hAnsi="Times New Roman"/>
                <w:szCs w:val="21"/>
              </w:rPr>
            </w:pPr>
          </w:p>
        </w:tc>
        <w:tc>
          <w:tcPr>
            <w:tcW w:w="1088" w:type="dxa"/>
          </w:tcPr>
          <w:p>
            <w:pPr>
              <w:pStyle w:val="69"/>
              <w:spacing w:line="360" w:lineRule="auto"/>
              <w:jc w:val="center"/>
              <w:rPr>
                <w:rFonts w:ascii="Times New Roman" w:hAnsi="Times New Roman"/>
                <w:szCs w:val="21"/>
              </w:rPr>
            </w:pPr>
          </w:p>
        </w:tc>
        <w:tc>
          <w:tcPr>
            <w:tcW w:w="1680" w:type="dxa"/>
          </w:tcPr>
          <w:p>
            <w:pPr>
              <w:pStyle w:val="69"/>
              <w:spacing w:line="360" w:lineRule="auto"/>
              <w:jc w:val="center"/>
              <w:rPr>
                <w:rFonts w:ascii="Times New Roman" w:hAnsi="Times New Roman"/>
                <w:szCs w:val="21"/>
              </w:rPr>
            </w:pPr>
          </w:p>
        </w:tc>
        <w:tc>
          <w:tcPr>
            <w:tcW w:w="2000" w:type="dxa"/>
          </w:tcPr>
          <w:p>
            <w:pPr>
              <w:pStyle w:val="69"/>
              <w:spacing w:line="360" w:lineRule="auto"/>
              <w:jc w:val="center"/>
              <w:rPr>
                <w:rFonts w:ascii="Times New Roman" w:hAnsi="Times New Roman"/>
                <w:szCs w:val="21"/>
              </w:rPr>
            </w:pPr>
          </w:p>
        </w:tc>
        <w:tc>
          <w:tcPr>
            <w:tcW w:w="2144" w:type="dxa"/>
          </w:tcPr>
          <w:p>
            <w:pPr>
              <w:pStyle w:val="69"/>
              <w:spacing w:line="360" w:lineRule="auto"/>
              <w:jc w:val="center"/>
              <w:rPr>
                <w:rFonts w:ascii="Times New Roman" w:hAnsi="Times New Roman"/>
                <w:szCs w:val="21"/>
              </w:rPr>
            </w:pPr>
          </w:p>
        </w:tc>
        <w:tc>
          <w:tcPr>
            <w:tcW w:w="1206" w:type="dxa"/>
          </w:tcPr>
          <w:p>
            <w:pPr>
              <w:pStyle w:val="69"/>
              <w:spacing w:line="360" w:lineRule="auto"/>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088" w:type="dxa"/>
            <w:vMerge w:val="continue"/>
          </w:tcPr>
          <w:p>
            <w:pPr>
              <w:pStyle w:val="69"/>
              <w:spacing w:line="360" w:lineRule="auto"/>
              <w:jc w:val="center"/>
              <w:rPr>
                <w:rFonts w:ascii="Times New Roman" w:hAnsi="Times New Roman"/>
                <w:szCs w:val="21"/>
              </w:rPr>
            </w:pPr>
          </w:p>
        </w:tc>
        <w:tc>
          <w:tcPr>
            <w:tcW w:w="1088" w:type="dxa"/>
          </w:tcPr>
          <w:p>
            <w:pPr>
              <w:pStyle w:val="69"/>
              <w:spacing w:line="360" w:lineRule="auto"/>
              <w:jc w:val="center"/>
              <w:rPr>
                <w:rFonts w:ascii="Times New Roman" w:hAnsi="Times New Roman"/>
                <w:szCs w:val="21"/>
              </w:rPr>
            </w:pPr>
          </w:p>
        </w:tc>
        <w:tc>
          <w:tcPr>
            <w:tcW w:w="1680" w:type="dxa"/>
          </w:tcPr>
          <w:p>
            <w:pPr>
              <w:pStyle w:val="69"/>
              <w:spacing w:line="360" w:lineRule="auto"/>
              <w:jc w:val="center"/>
              <w:rPr>
                <w:rFonts w:ascii="Times New Roman" w:hAnsi="Times New Roman"/>
                <w:szCs w:val="21"/>
              </w:rPr>
            </w:pPr>
          </w:p>
        </w:tc>
        <w:tc>
          <w:tcPr>
            <w:tcW w:w="2000" w:type="dxa"/>
          </w:tcPr>
          <w:p>
            <w:pPr>
              <w:pStyle w:val="69"/>
              <w:spacing w:line="360" w:lineRule="auto"/>
              <w:jc w:val="center"/>
              <w:rPr>
                <w:rFonts w:ascii="Times New Roman" w:hAnsi="Times New Roman"/>
                <w:szCs w:val="21"/>
              </w:rPr>
            </w:pPr>
          </w:p>
        </w:tc>
        <w:tc>
          <w:tcPr>
            <w:tcW w:w="2144" w:type="dxa"/>
          </w:tcPr>
          <w:p>
            <w:pPr>
              <w:pStyle w:val="69"/>
              <w:spacing w:line="360" w:lineRule="auto"/>
              <w:jc w:val="center"/>
              <w:rPr>
                <w:rFonts w:ascii="Times New Roman" w:hAnsi="Times New Roman"/>
                <w:szCs w:val="21"/>
              </w:rPr>
            </w:pPr>
          </w:p>
        </w:tc>
        <w:tc>
          <w:tcPr>
            <w:tcW w:w="1206" w:type="dxa"/>
          </w:tcPr>
          <w:p>
            <w:pPr>
              <w:pStyle w:val="69"/>
              <w:spacing w:line="360" w:lineRule="auto"/>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088" w:type="dxa"/>
            <w:vMerge w:val="continue"/>
          </w:tcPr>
          <w:p>
            <w:pPr>
              <w:pStyle w:val="69"/>
              <w:spacing w:line="360" w:lineRule="auto"/>
              <w:jc w:val="center"/>
              <w:rPr>
                <w:rFonts w:ascii="Times New Roman" w:hAnsi="Times New Roman"/>
                <w:szCs w:val="21"/>
              </w:rPr>
            </w:pPr>
          </w:p>
        </w:tc>
        <w:tc>
          <w:tcPr>
            <w:tcW w:w="1088" w:type="dxa"/>
          </w:tcPr>
          <w:p>
            <w:pPr>
              <w:pStyle w:val="69"/>
              <w:spacing w:line="360" w:lineRule="auto"/>
              <w:jc w:val="center"/>
              <w:rPr>
                <w:rFonts w:ascii="Times New Roman" w:hAnsi="Times New Roman"/>
                <w:szCs w:val="21"/>
              </w:rPr>
            </w:pPr>
          </w:p>
        </w:tc>
        <w:tc>
          <w:tcPr>
            <w:tcW w:w="1680" w:type="dxa"/>
          </w:tcPr>
          <w:p>
            <w:pPr>
              <w:pStyle w:val="69"/>
              <w:spacing w:line="360" w:lineRule="auto"/>
              <w:jc w:val="center"/>
              <w:rPr>
                <w:rFonts w:ascii="Times New Roman" w:hAnsi="Times New Roman"/>
                <w:szCs w:val="21"/>
              </w:rPr>
            </w:pPr>
          </w:p>
        </w:tc>
        <w:tc>
          <w:tcPr>
            <w:tcW w:w="2000" w:type="dxa"/>
          </w:tcPr>
          <w:p>
            <w:pPr>
              <w:pStyle w:val="69"/>
              <w:spacing w:line="360" w:lineRule="auto"/>
              <w:jc w:val="center"/>
              <w:rPr>
                <w:rFonts w:ascii="Times New Roman" w:hAnsi="Times New Roman"/>
                <w:szCs w:val="21"/>
              </w:rPr>
            </w:pPr>
          </w:p>
        </w:tc>
        <w:tc>
          <w:tcPr>
            <w:tcW w:w="2144" w:type="dxa"/>
          </w:tcPr>
          <w:p>
            <w:pPr>
              <w:pStyle w:val="69"/>
              <w:spacing w:line="360" w:lineRule="auto"/>
              <w:jc w:val="center"/>
              <w:rPr>
                <w:rFonts w:ascii="Times New Roman" w:hAnsi="Times New Roman"/>
                <w:szCs w:val="21"/>
              </w:rPr>
            </w:pPr>
          </w:p>
        </w:tc>
        <w:tc>
          <w:tcPr>
            <w:tcW w:w="1206" w:type="dxa"/>
          </w:tcPr>
          <w:p>
            <w:pPr>
              <w:pStyle w:val="69"/>
              <w:spacing w:line="360" w:lineRule="auto"/>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PrEx>
        <w:trPr>
          <w:cantSplit/>
          <w:jc w:val="center"/>
        </w:trPr>
        <w:tc>
          <w:tcPr>
            <w:tcW w:w="1088" w:type="dxa"/>
            <w:vMerge w:val="continue"/>
          </w:tcPr>
          <w:p>
            <w:pPr>
              <w:pStyle w:val="69"/>
              <w:spacing w:line="360" w:lineRule="auto"/>
              <w:jc w:val="center"/>
              <w:rPr>
                <w:rFonts w:ascii="Times New Roman" w:hAnsi="Times New Roman"/>
                <w:szCs w:val="21"/>
              </w:rPr>
            </w:pPr>
          </w:p>
        </w:tc>
        <w:tc>
          <w:tcPr>
            <w:tcW w:w="1088" w:type="dxa"/>
          </w:tcPr>
          <w:p>
            <w:pPr>
              <w:pStyle w:val="69"/>
              <w:spacing w:line="360" w:lineRule="auto"/>
              <w:jc w:val="center"/>
              <w:rPr>
                <w:rFonts w:ascii="Times New Roman" w:hAnsi="Times New Roman"/>
                <w:szCs w:val="21"/>
              </w:rPr>
            </w:pPr>
          </w:p>
        </w:tc>
        <w:tc>
          <w:tcPr>
            <w:tcW w:w="1680" w:type="dxa"/>
          </w:tcPr>
          <w:p>
            <w:pPr>
              <w:pStyle w:val="69"/>
              <w:spacing w:line="360" w:lineRule="auto"/>
              <w:jc w:val="center"/>
              <w:rPr>
                <w:rFonts w:ascii="Times New Roman" w:hAnsi="Times New Roman"/>
                <w:szCs w:val="21"/>
              </w:rPr>
            </w:pPr>
          </w:p>
        </w:tc>
        <w:tc>
          <w:tcPr>
            <w:tcW w:w="2000" w:type="dxa"/>
          </w:tcPr>
          <w:p>
            <w:pPr>
              <w:pStyle w:val="69"/>
              <w:spacing w:line="360" w:lineRule="auto"/>
              <w:jc w:val="center"/>
              <w:rPr>
                <w:rFonts w:ascii="Times New Roman" w:hAnsi="Times New Roman"/>
                <w:szCs w:val="21"/>
              </w:rPr>
            </w:pPr>
          </w:p>
        </w:tc>
        <w:tc>
          <w:tcPr>
            <w:tcW w:w="2144" w:type="dxa"/>
          </w:tcPr>
          <w:p>
            <w:pPr>
              <w:pStyle w:val="69"/>
              <w:spacing w:line="360" w:lineRule="auto"/>
              <w:jc w:val="center"/>
              <w:rPr>
                <w:rFonts w:ascii="Times New Roman" w:hAnsi="Times New Roman"/>
                <w:szCs w:val="21"/>
              </w:rPr>
            </w:pPr>
          </w:p>
        </w:tc>
        <w:tc>
          <w:tcPr>
            <w:tcW w:w="1206" w:type="dxa"/>
          </w:tcPr>
          <w:p>
            <w:pPr>
              <w:pStyle w:val="69"/>
              <w:spacing w:line="360" w:lineRule="auto"/>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088" w:type="dxa"/>
            <w:vMerge w:val="continue"/>
          </w:tcPr>
          <w:p>
            <w:pPr>
              <w:pStyle w:val="69"/>
              <w:spacing w:line="360" w:lineRule="auto"/>
              <w:jc w:val="center"/>
              <w:rPr>
                <w:rFonts w:ascii="Times New Roman" w:hAnsi="Times New Roman"/>
                <w:szCs w:val="21"/>
              </w:rPr>
            </w:pPr>
          </w:p>
        </w:tc>
        <w:tc>
          <w:tcPr>
            <w:tcW w:w="1088" w:type="dxa"/>
          </w:tcPr>
          <w:p>
            <w:pPr>
              <w:pStyle w:val="69"/>
              <w:spacing w:line="360" w:lineRule="auto"/>
              <w:jc w:val="center"/>
              <w:rPr>
                <w:rFonts w:ascii="Times New Roman" w:hAnsi="Times New Roman"/>
                <w:szCs w:val="21"/>
              </w:rPr>
            </w:pPr>
          </w:p>
        </w:tc>
        <w:tc>
          <w:tcPr>
            <w:tcW w:w="1680" w:type="dxa"/>
          </w:tcPr>
          <w:p>
            <w:pPr>
              <w:pStyle w:val="69"/>
              <w:spacing w:line="360" w:lineRule="auto"/>
              <w:jc w:val="center"/>
              <w:rPr>
                <w:rFonts w:ascii="Times New Roman" w:hAnsi="Times New Roman"/>
                <w:szCs w:val="21"/>
              </w:rPr>
            </w:pPr>
          </w:p>
        </w:tc>
        <w:tc>
          <w:tcPr>
            <w:tcW w:w="2000" w:type="dxa"/>
          </w:tcPr>
          <w:p>
            <w:pPr>
              <w:pStyle w:val="69"/>
              <w:spacing w:line="360" w:lineRule="auto"/>
              <w:jc w:val="center"/>
              <w:rPr>
                <w:rFonts w:ascii="Times New Roman" w:hAnsi="Times New Roman"/>
                <w:szCs w:val="21"/>
              </w:rPr>
            </w:pPr>
          </w:p>
        </w:tc>
        <w:tc>
          <w:tcPr>
            <w:tcW w:w="2144" w:type="dxa"/>
          </w:tcPr>
          <w:p>
            <w:pPr>
              <w:pStyle w:val="69"/>
              <w:spacing w:line="360" w:lineRule="auto"/>
              <w:jc w:val="center"/>
              <w:rPr>
                <w:rFonts w:ascii="Times New Roman" w:hAnsi="Times New Roman"/>
                <w:szCs w:val="21"/>
              </w:rPr>
            </w:pPr>
          </w:p>
        </w:tc>
        <w:tc>
          <w:tcPr>
            <w:tcW w:w="1206" w:type="dxa"/>
          </w:tcPr>
          <w:p>
            <w:pPr>
              <w:pStyle w:val="69"/>
              <w:spacing w:line="360" w:lineRule="auto"/>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088" w:type="dxa"/>
            <w:vMerge w:val="continue"/>
          </w:tcPr>
          <w:p>
            <w:pPr>
              <w:pStyle w:val="69"/>
              <w:spacing w:line="360" w:lineRule="auto"/>
              <w:jc w:val="center"/>
              <w:rPr>
                <w:rFonts w:ascii="Times New Roman" w:hAnsi="Times New Roman"/>
                <w:szCs w:val="21"/>
              </w:rPr>
            </w:pPr>
          </w:p>
        </w:tc>
        <w:tc>
          <w:tcPr>
            <w:tcW w:w="1088" w:type="dxa"/>
          </w:tcPr>
          <w:p>
            <w:pPr>
              <w:pStyle w:val="69"/>
              <w:spacing w:line="360" w:lineRule="auto"/>
              <w:jc w:val="center"/>
              <w:rPr>
                <w:rFonts w:ascii="Times New Roman" w:hAnsi="Times New Roman"/>
                <w:szCs w:val="21"/>
              </w:rPr>
            </w:pPr>
          </w:p>
        </w:tc>
        <w:tc>
          <w:tcPr>
            <w:tcW w:w="1680" w:type="dxa"/>
          </w:tcPr>
          <w:p>
            <w:pPr>
              <w:pStyle w:val="69"/>
              <w:spacing w:line="360" w:lineRule="auto"/>
              <w:jc w:val="center"/>
              <w:rPr>
                <w:rFonts w:ascii="Times New Roman" w:hAnsi="Times New Roman"/>
                <w:szCs w:val="21"/>
              </w:rPr>
            </w:pPr>
          </w:p>
        </w:tc>
        <w:tc>
          <w:tcPr>
            <w:tcW w:w="2000" w:type="dxa"/>
          </w:tcPr>
          <w:p>
            <w:pPr>
              <w:pStyle w:val="69"/>
              <w:spacing w:line="360" w:lineRule="auto"/>
              <w:jc w:val="center"/>
              <w:rPr>
                <w:rFonts w:ascii="Times New Roman" w:hAnsi="Times New Roman"/>
                <w:szCs w:val="21"/>
              </w:rPr>
            </w:pPr>
          </w:p>
        </w:tc>
        <w:tc>
          <w:tcPr>
            <w:tcW w:w="2144" w:type="dxa"/>
          </w:tcPr>
          <w:p>
            <w:pPr>
              <w:pStyle w:val="69"/>
              <w:spacing w:line="360" w:lineRule="auto"/>
              <w:jc w:val="center"/>
              <w:rPr>
                <w:rFonts w:ascii="Times New Roman" w:hAnsi="Times New Roman"/>
                <w:szCs w:val="21"/>
              </w:rPr>
            </w:pPr>
          </w:p>
        </w:tc>
        <w:tc>
          <w:tcPr>
            <w:tcW w:w="1206" w:type="dxa"/>
          </w:tcPr>
          <w:p>
            <w:pPr>
              <w:pStyle w:val="69"/>
              <w:spacing w:line="360" w:lineRule="auto"/>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1088" w:type="dxa"/>
            <w:vMerge w:val="continue"/>
          </w:tcPr>
          <w:p>
            <w:pPr>
              <w:pStyle w:val="69"/>
              <w:spacing w:line="360" w:lineRule="auto"/>
              <w:jc w:val="center"/>
              <w:rPr>
                <w:rFonts w:ascii="Times New Roman" w:hAnsi="Times New Roman"/>
                <w:szCs w:val="21"/>
              </w:rPr>
            </w:pPr>
          </w:p>
        </w:tc>
        <w:tc>
          <w:tcPr>
            <w:tcW w:w="1088" w:type="dxa"/>
          </w:tcPr>
          <w:p>
            <w:pPr>
              <w:pStyle w:val="69"/>
              <w:spacing w:line="360" w:lineRule="auto"/>
              <w:jc w:val="center"/>
              <w:rPr>
                <w:rFonts w:ascii="Times New Roman" w:hAnsi="Times New Roman"/>
                <w:szCs w:val="21"/>
              </w:rPr>
            </w:pPr>
          </w:p>
        </w:tc>
        <w:tc>
          <w:tcPr>
            <w:tcW w:w="1680" w:type="dxa"/>
          </w:tcPr>
          <w:p>
            <w:pPr>
              <w:pStyle w:val="69"/>
              <w:spacing w:line="360" w:lineRule="auto"/>
              <w:jc w:val="center"/>
              <w:rPr>
                <w:rFonts w:ascii="Times New Roman" w:hAnsi="Times New Roman"/>
                <w:szCs w:val="21"/>
              </w:rPr>
            </w:pPr>
          </w:p>
        </w:tc>
        <w:tc>
          <w:tcPr>
            <w:tcW w:w="2000" w:type="dxa"/>
          </w:tcPr>
          <w:p>
            <w:pPr>
              <w:pStyle w:val="69"/>
              <w:spacing w:line="360" w:lineRule="auto"/>
              <w:jc w:val="center"/>
              <w:rPr>
                <w:rFonts w:ascii="Times New Roman" w:hAnsi="Times New Roman"/>
                <w:szCs w:val="21"/>
              </w:rPr>
            </w:pPr>
          </w:p>
        </w:tc>
        <w:tc>
          <w:tcPr>
            <w:tcW w:w="2144" w:type="dxa"/>
          </w:tcPr>
          <w:p>
            <w:pPr>
              <w:pStyle w:val="69"/>
              <w:spacing w:line="360" w:lineRule="auto"/>
              <w:jc w:val="center"/>
              <w:rPr>
                <w:rFonts w:ascii="Times New Roman" w:hAnsi="Times New Roman"/>
                <w:szCs w:val="21"/>
              </w:rPr>
            </w:pPr>
          </w:p>
        </w:tc>
        <w:tc>
          <w:tcPr>
            <w:tcW w:w="1206" w:type="dxa"/>
          </w:tcPr>
          <w:p>
            <w:pPr>
              <w:pStyle w:val="69"/>
              <w:spacing w:line="360" w:lineRule="auto"/>
              <w:jc w:val="center"/>
              <w:rPr>
                <w:rFonts w:ascii="Times New Roman" w:hAnsi="Times New Roman"/>
                <w:szCs w:val="21"/>
              </w:rPr>
            </w:pPr>
          </w:p>
        </w:tc>
      </w:tr>
    </w:tbl>
    <w:p>
      <w:pPr>
        <w:pStyle w:val="69"/>
        <w:spacing w:line="360" w:lineRule="auto"/>
        <w:rPr>
          <w:rFonts w:ascii="Times New Roman" w:hAnsi="Times New Roman"/>
          <w:b/>
          <w:szCs w:val="21"/>
          <w:u w:val="thick"/>
        </w:rPr>
      </w:pPr>
      <w:r>
        <w:rPr>
          <w:rFonts w:ascii="Times New Roman" w:hAnsi="宋体"/>
          <w:b/>
          <w:szCs w:val="21"/>
          <w:u w:val="thick"/>
        </w:rPr>
        <w:t>注：如不填写，则视为完全响应招标文件的技术要求。</w:t>
      </w:r>
    </w:p>
    <w:p>
      <w:pPr>
        <w:pStyle w:val="69"/>
        <w:spacing w:line="360" w:lineRule="auto"/>
        <w:rPr>
          <w:rFonts w:ascii="Times New Roman" w:hAnsi="Times New Roman"/>
          <w:b/>
          <w:szCs w:val="21"/>
          <w:u w:val="thick"/>
        </w:rPr>
      </w:pPr>
    </w:p>
    <w:p>
      <w:pPr>
        <w:pStyle w:val="69"/>
        <w:spacing w:line="360" w:lineRule="auto"/>
        <w:rPr>
          <w:rFonts w:ascii="Times New Roman" w:hAnsi="Times New Roman"/>
          <w:szCs w:val="21"/>
        </w:rPr>
      </w:pPr>
      <w:r>
        <w:rPr>
          <w:rFonts w:ascii="Times New Roman" w:hAnsi="宋体"/>
          <w:szCs w:val="21"/>
        </w:rPr>
        <w:t>投标人（盖章）：</w:t>
      </w:r>
    </w:p>
    <w:p>
      <w:pPr>
        <w:pStyle w:val="69"/>
        <w:spacing w:line="360" w:lineRule="auto"/>
        <w:rPr>
          <w:rFonts w:ascii="Times New Roman" w:hAnsi="Times New Roman"/>
          <w:szCs w:val="21"/>
        </w:rPr>
      </w:pPr>
      <w:r>
        <w:rPr>
          <w:rFonts w:ascii="Times New Roman" w:hAnsi="宋体"/>
          <w:bCs/>
        </w:rPr>
        <w:t>法定代表人或其授权委托代理人</w:t>
      </w:r>
      <w:r>
        <w:rPr>
          <w:rFonts w:ascii="Times New Roman" w:hAnsi="宋体"/>
          <w:szCs w:val="21"/>
        </w:rPr>
        <w:t>签字：</w:t>
      </w:r>
    </w:p>
    <w:p>
      <w:pPr>
        <w:tabs>
          <w:tab w:val="left" w:pos="482"/>
          <w:tab w:val="left" w:pos="2183"/>
          <w:tab w:val="left" w:pos="3884"/>
          <w:tab w:val="left" w:pos="5585"/>
        </w:tabs>
        <w:rPr>
          <w:szCs w:val="21"/>
        </w:rPr>
      </w:pPr>
      <w:r>
        <w:rPr>
          <w:rFonts w:hAnsi="宋体"/>
          <w:szCs w:val="21"/>
        </w:rPr>
        <w:t>日期：</w:t>
      </w:r>
    </w:p>
    <w:p>
      <w:pPr>
        <w:widowControl/>
        <w:snapToGrid w:val="0"/>
        <w:jc w:val="center"/>
      </w:pPr>
    </w:p>
    <w:p>
      <w:pPr>
        <w:widowControl/>
        <w:snapToGrid w:val="0"/>
        <w:jc w:val="center"/>
      </w:pPr>
    </w:p>
    <w:p>
      <w:pPr>
        <w:widowControl/>
        <w:snapToGrid w:val="0"/>
        <w:jc w:val="center"/>
      </w:pPr>
    </w:p>
    <w:p>
      <w:pPr>
        <w:widowControl/>
        <w:snapToGrid w:val="0"/>
        <w:jc w:val="center"/>
      </w:pPr>
    </w:p>
    <w:p>
      <w:pPr>
        <w:widowControl/>
        <w:snapToGrid w:val="0"/>
        <w:jc w:val="center"/>
      </w:pPr>
    </w:p>
    <w:p>
      <w:pPr>
        <w:widowControl/>
        <w:snapToGrid w:val="0"/>
        <w:jc w:val="center"/>
      </w:pPr>
    </w:p>
    <w:p>
      <w:pPr>
        <w:widowControl/>
        <w:snapToGrid w:val="0"/>
        <w:jc w:val="center"/>
      </w:pPr>
    </w:p>
    <w:p>
      <w:pPr>
        <w:widowControl/>
        <w:snapToGrid w:val="0"/>
        <w:jc w:val="center"/>
      </w:pPr>
    </w:p>
    <w:p>
      <w:pPr>
        <w:tabs>
          <w:tab w:val="left" w:pos="482"/>
          <w:tab w:val="left" w:pos="2183"/>
          <w:tab w:val="left" w:pos="3884"/>
          <w:tab w:val="left" w:pos="5585"/>
        </w:tabs>
        <w:autoSpaceDE w:val="0"/>
        <w:autoSpaceDN w:val="0"/>
        <w:jc w:val="center"/>
        <w:rPr>
          <w:sz w:val="36"/>
          <w:szCs w:val="36"/>
        </w:rPr>
      </w:pPr>
    </w:p>
    <w:p>
      <w:pPr>
        <w:tabs>
          <w:tab w:val="left" w:pos="482"/>
          <w:tab w:val="left" w:pos="2183"/>
          <w:tab w:val="left" w:pos="3884"/>
          <w:tab w:val="left" w:pos="5585"/>
        </w:tabs>
        <w:autoSpaceDE w:val="0"/>
        <w:autoSpaceDN w:val="0"/>
        <w:jc w:val="center"/>
        <w:rPr>
          <w:sz w:val="36"/>
          <w:szCs w:val="36"/>
        </w:rPr>
      </w:pPr>
    </w:p>
    <w:p>
      <w:pPr>
        <w:tabs>
          <w:tab w:val="left" w:pos="482"/>
          <w:tab w:val="left" w:pos="2183"/>
          <w:tab w:val="left" w:pos="3884"/>
          <w:tab w:val="left" w:pos="5585"/>
        </w:tabs>
        <w:autoSpaceDE w:val="0"/>
        <w:autoSpaceDN w:val="0"/>
        <w:jc w:val="center"/>
        <w:rPr>
          <w:sz w:val="36"/>
          <w:szCs w:val="36"/>
        </w:rPr>
      </w:pPr>
    </w:p>
    <w:p>
      <w:pPr>
        <w:tabs>
          <w:tab w:val="left" w:pos="482"/>
          <w:tab w:val="left" w:pos="2183"/>
          <w:tab w:val="left" w:pos="3884"/>
          <w:tab w:val="left" w:pos="5585"/>
        </w:tabs>
        <w:autoSpaceDE w:val="0"/>
        <w:autoSpaceDN w:val="0"/>
        <w:rPr>
          <w:sz w:val="36"/>
          <w:szCs w:val="36"/>
        </w:rPr>
      </w:pPr>
    </w:p>
    <w:p>
      <w:pPr>
        <w:tabs>
          <w:tab w:val="left" w:pos="482"/>
          <w:tab w:val="left" w:pos="2183"/>
          <w:tab w:val="left" w:pos="3884"/>
          <w:tab w:val="left" w:pos="5585"/>
        </w:tabs>
        <w:autoSpaceDE w:val="0"/>
        <w:autoSpaceDN w:val="0"/>
        <w:jc w:val="center"/>
        <w:rPr>
          <w:sz w:val="36"/>
          <w:szCs w:val="36"/>
        </w:rPr>
      </w:pPr>
    </w:p>
    <w:p>
      <w:pPr>
        <w:tabs>
          <w:tab w:val="left" w:pos="482"/>
          <w:tab w:val="left" w:pos="2183"/>
          <w:tab w:val="left" w:pos="3884"/>
          <w:tab w:val="left" w:pos="5585"/>
        </w:tabs>
        <w:autoSpaceDE w:val="0"/>
        <w:autoSpaceDN w:val="0"/>
        <w:jc w:val="center"/>
        <w:rPr>
          <w:b/>
          <w:sz w:val="36"/>
          <w:szCs w:val="36"/>
        </w:rPr>
      </w:pPr>
      <w:r>
        <w:rPr>
          <w:rFonts w:hAnsi="宋体"/>
          <w:b/>
          <w:sz w:val="36"/>
          <w:szCs w:val="36"/>
        </w:rPr>
        <w:t>（二）商务标部分格式</w:t>
      </w:r>
    </w:p>
    <w:p>
      <w:pPr>
        <w:tabs>
          <w:tab w:val="left" w:pos="482"/>
          <w:tab w:val="left" w:pos="2183"/>
          <w:tab w:val="left" w:pos="3884"/>
          <w:tab w:val="left" w:pos="5585"/>
        </w:tabs>
        <w:autoSpaceDE w:val="0"/>
        <w:autoSpaceDN w:val="0"/>
        <w:jc w:val="center"/>
        <w:rPr>
          <w:b/>
          <w:sz w:val="28"/>
          <w:szCs w:val="28"/>
        </w:rPr>
      </w:pPr>
    </w:p>
    <w:p>
      <w:pPr>
        <w:tabs>
          <w:tab w:val="left" w:pos="482"/>
          <w:tab w:val="left" w:pos="2183"/>
          <w:tab w:val="left" w:pos="3884"/>
          <w:tab w:val="left" w:pos="5585"/>
        </w:tabs>
        <w:autoSpaceDE w:val="0"/>
        <w:autoSpaceDN w:val="0"/>
        <w:jc w:val="center"/>
        <w:rPr>
          <w:sz w:val="36"/>
          <w:szCs w:val="36"/>
        </w:rPr>
      </w:pPr>
    </w:p>
    <w:p>
      <w:pPr>
        <w:tabs>
          <w:tab w:val="left" w:pos="482"/>
          <w:tab w:val="left" w:pos="2183"/>
          <w:tab w:val="left" w:pos="3884"/>
          <w:tab w:val="left" w:pos="5585"/>
        </w:tabs>
        <w:autoSpaceDE w:val="0"/>
        <w:autoSpaceDN w:val="0"/>
        <w:jc w:val="center"/>
        <w:rPr>
          <w:b/>
          <w:sz w:val="28"/>
          <w:szCs w:val="28"/>
        </w:rPr>
      </w:pPr>
    </w:p>
    <w:p>
      <w:pPr>
        <w:tabs>
          <w:tab w:val="left" w:pos="482"/>
          <w:tab w:val="left" w:pos="2183"/>
          <w:tab w:val="left" w:pos="3884"/>
          <w:tab w:val="left" w:pos="5585"/>
        </w:tabs>
        <w:autoSpaceDE w:val="0"/>
        <w:autoSpaceDN w:val="0"/>
        <w:jc w:val="center"/>
        <w:rPr>
          <w:b/>
          <w:sz w:val="28"/>
          <w:szCs w:val="28"/>
        </w:rPr>
      </w:pPr>
    </w:p>
    <w:p>
      <w:pPr>
        <w:pStyle w:val="6"/>
        <w:tabs>
          <w:tab w:val="left" w:pos="482"/>
          <w:tab w:val="left" w:pos="2183"/>
          <w:tab w:val="left" w:pos="3884"/>
          <w:tab w:val="left" w:pos="5585"/>
        </w:tabs>
        <w:jc w:val="center"/>
      </w:pPr>
      <w:r>
        <w:rPr>
          <w:b w:val="0"/>
          <w:sz w:val="28"/>
          <w:szCs w:val="28"/>
        </w:rPr>
        <w:br w:type="page"/>
      </w:r>
      <w:r>
        <w:t>1</w:t>
      </w:r>
      <w:r>
        <w:rPr>
          <w:rFonts w:hAnsi="宋体"/>
        </w:rPr>
        <w:t>、投</w:t>
      </w:r>
      <w:r>
        <w:t xml:space="preserve"> </w:t>
      </w:r>
      <w:r>
        <w:rPr>
          <w:rFonts w:hAnsi="宋体"/>
        </w:rPr>
        <w:t>标</w:t>
      </w:r>
      <w:r>
        <w:t xml:space="preserve"> </w:t>
      </w:r>
      <w:r>
        <w:rPr>
          <w:rFonts w:hAnsi="宋体"/>
        </w:rPr>
        <w:t>函</w:t>
      </w:r>
    </w:p>
    <w:p>
      <w:pPr>
        <w:tabs>
          <w:tab w:val="left" w:pos="482"/>
          <w:tab w:val="left" w:pos="2183"/>
          <w:tab w:val="left" w:pos="3884"/>
          <w:tab w:val="left" w:pos="5585"/>
        </w:tabs>
        <w:spacing w:line="400" w:lineRule="exact"/>
        <w:rPr>
          <w:szCs w:val="21"/>
        </w:rPr>
      </w:pPr>
      <w:r>
        <w:rPr>
          <w:rFonts w:hAnsi="宋体"/>
          <w:szCs w:val="21"/>
        </w:rPr>
        <w:t>致：</w:t>
      </w:r>
      <w:r>
        <w:rPr>
          <w:szCs w:val="21"/>
          <w:u w:val="single"/>
        </w:rPr>
        <w:t xml:space="preserve">     </w:t>
      </w:r>
      <w:r>
        <w:rPr>
          <w:rFonts w:hAnsi="宋体"/>
          <w:szCs w:val="21"/>
          <w:u w:val="single"/>
        </w:rPr>
        <w:t>（招标人名称）</w:t>
      </w:r>
      <w:r>
        <w:rPr>
          <w:szCs w:val="21"/>
          <w:u w:val="single"/>
        </w:rPr>
        <w:t xml:space="preserve">    </w:t>
      </w:r>
      <w:r>
        <w:rPr>
          <w:szCs w:val="21"/>
        </w:rPr>
        <w:t xml:space="preserve"> </w:t>
      </w:r>
      <w:r>
        <w:rPr>
          <w:rFonts w:hAnsi="宋体"/>
          <w:szCs w:val="21"/>
        </w:rPr>
        <w:t>：</w:t>
      </w:r>
    </w:p>
    <w:p>
      <w:pPr>
        <w:pStyle w:val="18"/>
        <w:spacing w:line="400" w:lineRule="exact"/>
        <w:ind w:firstLine="420" w:firstLineChars="200"/>
        <w:rPr>
          <w:rFonts w:ascii="Times New Roman" w:hAnsi="Times New Roman"/>
          <w:bCs/>
        </w:rPr>
      </w:pPr>
      <w:r>
        <w:rPr>
          <w:rFonts w:ascii="Times New Roman" w:hAnsi="宋体"/>
        </w:rPr>
        <w:t>根据你方</w:t>
      </w:r>
      <w:r>
        <w:rPr>
          <w:rFonts w:ascii="Times New Roman" w:hAnsi="Times New Roman"/>
          <w:u w:val="single"/>
        </w:rPr>
        <w:t xml:space="preserve">                        </w:t>
      </w:r>
      <w:r>
        <w:rPr>
          <w:rFonts w:ascii="Times New Roman" w:hAnsi="宋体"/>
        </w:rPr>
        <w:t>项目招标文件，遵照《中华人民共和国招标投标法》等有关规定，经踏勘项目现场和研究上述招标文件的投标须知、合同条款、图纸、有关产品技术要求及标准和其他有关文件后，我方愿对以下内容作出承诺，并承担任何质量缺陷保修责任，</w:t>
      </w:r>
      <w:r>
        <w:rPr>
          <w:rFonts w:ascii="Times New Roman" w:hAnsi="宋体"/>
          <w:bCs/>
        </w:rPr>
        <w:t>为此：</w:t>
      </w:r>
    </w:p>
    <w:p>
      <w:pPr>
        <w:pStyle w:val="18"/>
        <w:spacing w:line="400" w:lineRule="exact"/>
        <w:ind w:firstLine="420" w:firstLineChars="200"/>
        <w:rPr>
          <w:rFonts w:ascii="Times New Roman" w:hAnsi="Times New Roman"/>
          <w:bCs/>
        </w:rPr>
      </w:pPr>
      <w:r>
        <w:rPr>
          <w:rFonts w:ascii="Times New Roman" w:hAnsi="Times New Roman"/>
          <w:bCs/>
        </w:rPr>
        <w:t>1</w:t>
      </w:r>
      <w:r>
        <w:rPr>
          <w:rFonts w:ascii="Times New Roman" w:hAnsi="宋体"/>
          <w:bCs/>
        </w:rPr>
        <w:t>、提供投标须知规定的全部投标文件：</w:t>
      </w:r>
    </w:p>
    <w:p>
      <w:pPr>
        <w:pStyle w:val="18"/>
        <w:spacing w:line="400" w:lineRule="exact"/>
        <w:ind w:firstLine="420" w:firstLineChars="200"/>
        <w:rPr>
          <w:rFonts w:ascii="Times New Roman" w:hAnsi="Times New Roman"/>
          <w:bCs/>
        </w:rPr>
      </w:pPr>
      <w:r>
        <w:rPr>
          <w:rFonts w:ascii="Times New Roman" w:hAnsi="Times New Roman"/>
          <w:bCs/>
        </w:rPr>
        <w:t>2</w:t>
      </w:r>
      <w:r>
        <w:rPr>
          <w:rFonts w:ascii="Times New Roman" w:hAnsi="宋体"/>
          <w:bCs/>
        </w:rPr>
        <w:t>、投标设备的投标报价为（大写）：</w:t>
      </w:r>
      <w:r>
        <w:rPr>
          <w:rFonts w:ascii="Times New Roman" w:hAnsi="宋体"/>
          <w:bCs/>
          <w:u w:val="single"/>
        </w:rPr>
        <w:t>　　　　　　　　　　</w:t>
      </w:r>
      <w:r>
        <w:rPr>
          <w:rFonts w:ascii="Times New Roman" w:hAnsi="宋体"/>
          <w:bCs/>
        </w:rPr>
        <w:t>元人民币。</w:t>
      </w:r>
    </w:p>
    <w:p>
      <w:pPr>
        <w:pStyle w:val="18"/>
        <w:spacing w:line="400" w:lineRule="exact"/>
        <w:ind w:firstLine="420" w:firstLineChars="200"/>
        <w:rPr>
          <w:rFonts w:ascii="Times New Roman" w:hAnsi="Times New Roman"/>
          <w:bCs/>
        </w:rPr>
      </w:pPr>
      <w:r>
        <w:rPr>
          <w:rFonts w:ascii="Times New Roman" w:hAnsi="Times New Roman"/>
          <w:bCs/>
        </w:rPr>
        <w:t>3</w:t>
      </w:r>
      <w:r>
        <w:rPr>
          <w:rFonts w:ascii="Times New Roman" w:hAnsi="宋体"/>
          <w:bCs/>
        </w:rPr>
        <w:t>、接受招标文件中的有关规定和收费标准。</w:t>
      </w:r>
    </w:p>
    <w:p>
      <w:pPr>
        <w:pStyle w:val="18"/>
        <w:spacing w:line="400" w:lineRule="exact"/>
        <w:ind w:firstLine="420" w:firstLineChars="200"/>
        <w:rPr>
          <w:rFonts w:ascii="Times New Roman" w:hAnsi="Times New Roman"/>
          <w:bCs/>
        </w:rPr>
      </w:pPr>
      <w:r>
        <w:rPr>
          <w:rFonts w:ascii="Times New Roman" w:hAnsi="Times New Roman"/>
          <w:bCs/>
        </w:rPr>
        <w:t>4</w:t>
      </w:r>
      <w:r>
        <w:rPr>
          <w:rFonts w:ascii="Times New Roman" w:hAnsi="宋体"/>
          <w:bCs/>
        </w:rPr>
        <w:t>、保证忠实地执行买卖双方所签的经济合同，</w:t>
      </w:r>
      <w:r>
        <w:rPr>
          <w:rFonts w:ascii="Times New Roman" w:hAnsi="Times New Roman"/>
          <w:bCs/>
        </w:rPr>
        <w:t xml:space="preserve"> </w:t>
      </w:r>
      <w:r>
        <w:rPr>
          <w:rFonts w:ascii="Times New Roman" w:hAnsi="宋体"/>
          <w:bCs/>
        </w:rPr>
        <w:t>并承担合同规定的责任义务。</w:t>
      </w:r>
    </w:p>
    <w:p>
      <w:pPr>
        <w:pStyle w:val="18"/>
        <w:spacing w:line="400" w:lineRule="exact"/>
        <w:ind w:firstLine="420" w:firstLineChars="200"/>
        <w:rPr>
          <w:rFonts w:ascii="Times New Roman" w:hAnsi="Times New Roman"/>
          <w:bCs/>
        </w:rPr>
      </w:pPr>
      <w:r>
        <w:rPr>
          <w:rFonts w:ascii="Times New Roman" w:hAnsi="Times New Roman"/>
          <w:bCs/>
        </w:rPr>
        <w:t>5</w:t>
      </w:r>
      <w:r>
        <w:rPr>
          <w:rFonts w:ascii="Times New Roman" w:hAnsi="宋体"/>
          <w:bCs/>
        </w:rPr>
        <w:t>、招标人已详细审查全部招标文件，包括补充文件（如果有的话），我们完全理解并同意放弃对这方面有不明或误解的权力。</w:t>
      </w:r>
    </w:p>
    <w:p>
      <w:pPr>
        <w:pStyle w:val="18"/>
        <w:spacing w:line="400" w:lineRule="exact"/>
        <w:ind w:firstLine="420" w:firstLineChars="200"/>
        <w:rPr>
          <w:rFonts w:ascii="Times New Roman" w:hAnsi="Times New Roman"/>
          <w:bCs/>
        </w:rPr>
      </w:pPr>
      <w:r>
        <w:rPr>
          <w:rFonts w:ascii="Times New Roman" w:hAnsi="Times New Roman"/>
          <w:bCs/>
        </w:rPr>
        <w:t>6</w:t>
      </w:r>
      <w:r>
        <w:rPr>
          <w:rFonts w:ascii="Times New Roman" w:hAnsi="宋体"/>
          <w:bCs/>
        </w:rPr>
        <w:t>、愿意向贵方提供任何与该项投标有关的数据、情况和技术资料，完全理解贵方不一定接受最低价投标或收到的任何投标。</w:t>
      </w:r>
    </w:p>
    <w:p>
      <w:pPr>
        <w:pStyle w:val="18"/>
        <w:spacing w:line="400" w:lineRule="exact"/>
        <w:ind w:firstLine="420" w:firstLineChars="200"/>
        <w:rPr>
          <w:rFonts w:ascii="Times New Roman" w:hAnsi="Times New Roman"/>
          <w:bCs/>
        </w:rPr>
      </w:pPr>
      <w:r>
        <w:rPr>
          <w:rFonts w:ascii="Times New Roman" w:hAnsi="Times New Roman"/>
          <w:bCs/>
        </w:rPr>
        <w:t>7</w:t>
      </w:r>
      <w:r>
        <w:rPr>
          <w:rFonts w:ascii="Times New Roman" w:hAnsi="宋体"/>
          <w:bCs/>
        </w:rPr>
        <w:t>、投标工期（总工期）：</w:t>
      </w:r>
      <w:r>
        <w:rPr>
          <w:rFonts w:ascii="Times New Roman" w:hAnsi="Times New Roman"/>
          <w:bCs/>
          <w:u w:val="single"/>
        </w:rPr>
        <w:t xml:space="preserve">        </w:t>
      </w:r>
      <w:r>
        <w:rPr>
          <w:rFonts w:ascii="Times New Roman" w:hAnsi="宋体"/>
          <w:bCs/>
        </w:rPr>
        <w:t>日历天。</w:t>
      </w:r>
    </w:p>
    <w:p>
      <w:pPr>
        <w:pStyle w:val="18"/>
        <w:spacing w:line="400" w:lineRule="exact"/>
        <w:ind w:firstLine="420" w:firstLineChars="200"/>
        <w:rPr>
          <w:rFonts w:ascii="Times New Roman" w:hAnsi="Times New Roman"/>
          <w:bCs/>
        </w:rPr>
      </w:pPr>
      <w:r>
        <w:rPr>
          <w:rFonts w:ascii="Times New Roman" w:hAnsi="Times New Roman"/>
        </w:rPr>
        <w:t>8</w:t>
      </w:r>
      <w:r>
        <w:rPr>
          <w:rFonts w:ascii="Times New Roman" w:hAnsi="宋体"/>
        </w:rPr>
        <w:t>．我方承诺在投标有效期内不修改、撤销投标文件。</w:t>
      </w:r>
    </w:p>
    <w:p>
      <w:pPr>
        <w:tabs>
          <w:tab w:val="left" w:pos="482"/>
          <w:tab w:val="left" w:pos="2183"/>
          <w:tab w:val="left" w:pos="3884"/>
          <w:tab w:val="left" w:pos="5585"/>
        </w:tabs>
        <w:spacing w:line="400" w:lineRule="exact"/>
        <w:ind w:firstLine="420" w:firstLineChars="200"/>
        <w:rPr>
          <w:rFonts w:eastAsia="仿宋_GB2312"/>
        </w:rPr>
      </w:pPr>
    </w:p>
    <w:p>
      <w:pPr>
        <w:tabs>
          <w:tab w:val="left" w:pos="482"/>
          <w:tab w:val="left" w:pos="2183"/>
          <w:tab w:val="left" w:pos="3884"/>
          <w:tab w:val="left" w:pos="5585"/>
        </w:tabs>
        <w:spacing w:line="400" w:lineRule="exact"/>
        <w:ind w:firstLine="420" w:firstLineChars="200"/>
        <w:rPr>
          <w:rFonts w:eastAsia="仿宋_GB2312"/>
        </w:rPr>
      </w:pPr>
    </w:p>
    <w:p>
      <w:pPr>
        <w:tabs>
          <w:tab w:val="left" w:pos="482"/>
          <w:tab w:val="left" w:pos="2183"/>
          <w:tab w:val="left" w:pos="3884"/>
          <w:tab w:val="left" w:pos="5585"/>
        </w:tabs>
        <w:spacing w:line="400" w:lineRule="exact"/>
        <w:ind w:firstLine="420" w:firstLineChars="200"/>
        <w:rPr>
          <w:rFonts w:eastAsia="仿宋_GB2312"/>
        </w:rPr>
      </w:pPr>
    </w:p>
    <w:p>
      <w:pPr>
        <w:tabs>
          <w:tab w:val="left" w:pos="482"/>
          <w:tab w:val="left" w:pos="2183"/>
          <w:tab w:val="left" w:pos="3884"/>
          <w:tab w:val="left" w:pos="5585"/>
        </w:tabs>
        <w:spacing w:line="400" w:lineRule="exact"/>
        <w:ind w:firstLine="3150" w:firstLineChars="1500"/>
        <w:rPr>
          <w:szCs w:val="21"/>
          <w:u w:val="single"/>
        </w:rPr>
      </w:pPr>
      <w:r>
        <w:rPr>
          <w:rFonts w:hAnsi="宋体"/>
          <w:szCs w:val="21"/>
        </w:rPr>
        <w:t>投</w:t>
      </w:r>
      <w:r>
        <w:rPr>
          <w:szCs w:val="21"/>
        </w:rPr>
        <w:t xml:space="preserve"> </w:t>
      </w:r>
      <w:r>
        <w:rPr>
          <w:rFonts w:hAnsi="宋体"/>
          <w:szCs w:val="21"/>
        </w:rPr>
        <w:t>标</w:t>
      </w:r>
      <w:r>
        <w:rPr>
          <w:szCs w:val="21"/>
        </w:rPr>
        <w:t xml:space="preserve"> </w:t>
      </w:r>
      <w:r>
        <w:rPr>
          <w:rFonts w:hAnsi="宋体"/>
          <w:szCs w:val="21"/>
        </w:rPr>
        <w:t>人：</w:t>
      </w:r>
      <w:r>
        <w:rPr>
          <w:szCs w:val="21"/>
          <w:u w:val="single"/>
        </w:rPr>
        <w:t xml:space="preserve">                              </w:t>
      </w:r>
      <w:r>
        <w:rPr>
          <w:rFonts w:hAnsi="宋体"/>
          <w:szCs w:val="21"/>
          <w:u w:val="single"/>
        </w:rPr>
        <w:t>（盖章）</w:t>
      </w:r>
    </w:p>
    <w:p>
      <w:pPr>
        <w:tabs>
          <w:tab w:val="left" w:pos="482"/>
          <w:tab w:val="left" w:pos="2183"/>
          <w:tab w:val="left" w:pos="3884"/>
          <w:tab w:val="left" w:pos="5585"/>
        </w:tabs>
        <w:spacing w:line="400" w:lineRule="exact"/>
        <w:ind w:firstLine="3150" w:firstLineChars="1500"/>
        <w:rPr>
          <w:szCs w:val="21"/>
          <w:u w:val="single"/>
        </w:rPr>
      </w:pPr>
      <w:r>
        <w:rPr>
          <w:rFonts w:hAnsi="宋体"/>
          <w:szCs w:val="21"/>
        </w:rPr>
        <w:t>单位地址：</w:t>
      </w:r>
      <w:r>
        <w:rPr>
          <w:szCs w:val="21"/>
          <w:u w:val="single"/>
        </w:rPr>
        <w:t xml:space="preserve">                                   </w:t>
      </w:r>
    </w:p>
    <w:p>
      <w:pPr>
        <w:tabs>
          <w:tab w:val="left" w:pos="482"/>
          <w:tab w:val="left" w:pos="2183"/>
          <w:tab w:val="left" w:pos="3884"/>
          <w:tab w:val="left" w:pos="5585"/>
        </w:tabs>
        <w:spacing w:line="400" w:lineRule="exact"/>
        <w:ind w:firstLine="3150" w:firstLineChars="1500"/>
        <w:rPr>
          <w:szCs w:val="21"/>
          <w:u w:val="single"/>
        </w:rPr>
      </w:pPr>
      <w:r>
        <w:rPr>
          <w:rFonts w:hAnsi="宋体"/>
          <w:szCs w:val="21"/>
        </w:rPr>
        <w:t>法定代表人或其委托代理人：</w:t>
      </w:r>
      <w:r>
        <w:rPr>
          <w:szCs w:val="21"/>
          <w:u w:val="single"/>
        </w:rPr>
        <w:t xml:space="preserve">        </w:t>
      </w:r>
      <w:r>
        <w:rPr>
          <w:rFonts w:hAnsi="宋体"/>
          <w:szCs w:val="21"/>
          <w:u w:val="single"/>
        </w:rPr>
        <w:t>（签字或盖章）</w:t>
      </w:r>
    </w:p>
    <w:p>
      <w:pPr>
        <w:tabs>
          <w:tab w:val="left" w:pos="482"/>
          <w:tab w:val="left" w:pos="2183"/>
          <w:tab w:val="left" w:pos="3884"/>
          <w:tab w:val="left" w:pos="5585"/>
        </w:tabs>
        <w:spacing w:line="400" w:lineRule="exact"/>
        <w:ind w:firstLine="3150" w:firstLineChars="1500"/>
        <w:rPr>
          <w:szCs w:val="21"/>
        </w:rPr>
      </w:pPr>
      <w:r>
        <w:rPr>
          <w:rFonts w:hAnsi="宋体"/>
          <w:szCs w:val="21"/>
        </w:rPr>
        <w:t>邮政编码：</w:t>
      </w:r>
      <w:r>
        <w:rPr>
          <w:szCs w:val="21"/>
          <w:u w:val="single"/>
        </w:rPr>
        <w:t xml:space="preserve">         </w:t>
      </w:r>
      <w:r>
        <w:rPr>
          <w:szCs w:val="21"/>
        </w:rPr>
        <w:t xml:space="preserve">  </w:t>
      </w:r>
      <w:r>
        <w:rPr>
          <w:rFonts w:hAnsi="宋体"/>
          <w:szCs w:val="21"/>
        </w:rPr>
        <w:t>电话：</w:t>
      </w:r>
      <w:r>
        <w:rPr>
          <w:szCs w:val="21"/>
          <w:u w:val="single"/>
        </w:rPr>
        <w:t xml:space="preserve">         </w:t>
      </w:r>
      <w:r>
        <w:rPr>
          <w:szCs w:val="21"/>
        </w:rPr>
        <w:t xml:space="preserve">  </w:t>
      </w:r>
      <w:r>
        <w:rPr>
          <w:rFonts w:hAnsi="宋体"/>
          <w:szCs w:val="21"/>
        </w:rPr>
        <w:t>传真：</w:t>
      </w:r>
      <w:r>
        <w:rPr>
          <w:szCs w:val="21"/>
          <w:u w:val="single"/>
        </w:rPr>
        <w:t xml:space="preserve">          </w:t>
      </w:r>
    </w:p>
    <w:p>
      <w:pPr>
        <w:tabs>
          <w:tab w:val="left" w:pos="482"/>
          <w:tab w:val="left" w:pos="2183"/>
          <w:tab w:val="left" w:pos="3884"/>
          <w:tab w:val="left" w:pos="5585"/>
        </w:tabs>
        <w:spacing w:line="400" w:lineRule="exact"/>
        <w:ind w:firstLine="3150" w:firstLineChars="1500"/>
        <w:rPr>
          <w:szCs w:val="21"/>
        </w:rPr>
      </w:pPr>
      <w:r>
        <w:rPr>
          <w:rFonts w:hAnsi="宋体"/>
          <w:szCs w:val="21"/>
        </w:rPr>
        <w:t>开户银行名称：</w:t>
      </w:r>
      <w:r>
        <w:rPr>
          <w:szCs w:val="21"/>
          <w:u w:val="single"/>
        </w:rPr>
        <w:t xml:space="preserve">                                 </w:t>
      </w:r>
    </w:p>
    <w:p>
      <w:pPr>
        <w:tabs>
          <w:tab w:val="left" w:pos="482"/>
          <w:tab w:val="left" w:pos="2183"/>
          <w:tab w:val="left" w:pos="3884"/>
          <w:tab w:val="left" w:pos="5585"/>
        </w:tabs>
        <w:spacing w:line="400" w:lineRule="exact"/>
        <w:ind w:firstLine="3150" w:firstLineChars="1500"/>
        <w:rPr>
          <w:szCs w:val="21"/>
        </w:rPr>
      </w:pPr>
      <w:r>
        <w:rPr>
          <w:rFonts w:hAnsi="宋体"/>
          <w:szCs w:val="21"/>
        </w:rPr>
        <w:t>开户银行账号：</w:t>
      </w:r>
      <w:r>
        <w:rPr>
          <w:szCs w:val="21"/>
          <w:u w:val="single"/>
        </w:rPr>
        <w:t xml:space="preserve">                                 </w:t>
      </w:r>
    </w:p>
    <w:p>
      <w:pPr>
        <w:tabs>
          <w:tab w:val="left" w:pos="482"/>
          <w:tab w:val="left" w:pos="2183"/>
          <w:tab w:val="left" w:pos="3884"/>
          <w:tab w:val="left" w:pos="5585"/>
        </w:tabs>
        <w:spacing w:line="400" w:lineRule="exact"/>
        <w:ind w:firstLine="3150" w:firstLineChars="1500"/>
        <w:rPr>
          <w:szCs w:val="21"/>
        </w:rPr>
      </w:pPr>
      <w:r>
        <w:rPr>
          <w:rFonts w:hAnsi="宋体"/>
          <w:szCs w:val="21"/>
        </w:rPr>
        <w:t>开户银行地址：</w:t>
      </w:r>
      <w:r>
        <w:rPr>
          <w:szCs w:val="21"/>
          <w:u w:val="single"/>
        </w:rPr>
        <w:t xml:space="preserve">                                 </w:t>
      </w:r>
    </w:p>
    <w:p>
      <w:pPr>
        <w:tabs>
          <w:tab w:val="left" w:pos="482"/>
          <w:tab w:val="left" w:pos="2183"/>
          <w:tab w:val="left" w:pos="3884"/>
          <w:tab w:val="left" w:pos="5585"/>
        </w:tabs>
        <w:spacing w:line="400" w:lineRule="exact"/>
        <w:ind w:firstLine="3150" w:firstLineChars="1500"/>
        <w:rPr>
          <w:szCs w:val="21"/>
        </w:rPr>
      </w:pPr>
      <w:r>
        <w:rPr>
          <w:rFonts w:hAnsi="宋体"/>
          <w:szCs w:val="21"/>
        </w:rPr>
        <w:t>开户银行电话：</w:t>
      </w:r>
      <w:r>
        <w:rPr>
          <w:szCs w:val="21"/>
          <w:u w:val="single"/>
        </w:rPr>
        <w:t xml:space="preserve">                                 </w:t>
      </w:r>
    </w:p>
    <w:p>
      <w:pPr>
        <w:tabs>
          <w:tab w:val="left" w:pos="482"/>
          <w:tab w:val="left" w:pos="2183"/>
          <w:tab w:val="left" w:pos="3884"/>
          <w:tab w:val="left" w:pos="5585"/>
        </w:tabs>
        <w:spacing w:line="400" w:lineRule="exact"/>
        <w:ind w:left="630" w:leftChars="300" w:firstLine="2520" w:firstLineChars="1200"/>
        <w:rPr>
          <w:szCs w:val="21"/>
        </w:rPr>
      </w:pPr>
      <w:r>
        <w:rPr>
          <w:rFonts w:hAnsi="宋体"/>
          <w:szCs w:val="21"/>
        </w:rPr>
        <w:t>日期</w:t>
      </w:r>
      <w:r>
        <w:rPr>
          <w:szCs w:val="21"/>
        </w:rPr>
        <w:t xml:space="preserve"> </w:t>
      </w:r>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Ansi="宋体"/>
          <w:szCs w:val="21"/>
        </w:rPr>
        <w:t>日</w:t>
      </w:r>
    </w:p>
    <w:p>
      <w:pPr>
        <w:pStyle w:val="18"/>
        <w:spacing w:line="400" w:lineRule="exact"/>
        <w:ind w:firstLine="420" w:firstLineChars="200"/>
        <w:rPr>
          <w:rFonts w:ascii="Times New Roman" w:hAnsi="Times New Roman" w:eastAsia="仿宋_GB2312"/>
          <w:bCs/>
        </w:rPr>
      </w:pPr>
    </w:p>
    <w:p>
      <w:pPr>
        <w:tabs>
          <w:tab w:val="left" w:pos="482"/>
          <w:tab w:val="left" w:pos="2183"/>
          <w:tab w:val="left" w:pos="3884"/>
          <w:tab w:val="left" w:pos="5585"/>
        </w:tabs>
        <w:rPr>
          <w:rFonts w:eastAsia="仿宋_GB2312"/>
          <w:bCs/>
        </w:rPr>
      </w:pPr>
    </w:p>
    <w:p>
      <w:pPr>
        <w:pStyle w:val="6"/>
        <w:tabs>
          <w:tab w:val="left" w:pos="482"/>
          <w:tab w:val="left" w:pos="2183"/>
          <w:tab w:val="left" w:pos="3884"/>
          <w:tab w:val="left" w:pos="5585"/>
        </w:tabs>
        <w:jc w:val="center"/>
        <w:rPr>
          <w:b w:val="0"/>
        </w:rPr>
      </w:pPr>
      <w:r>
        <w:br w:type="page"/>
      </w:r>
      <w:r>
        <w:t>2</w:t>
      </w:r>
      <w:r>
        <w:rPr>
          <w:rFonts w:hAnsi="宋体"/>
        </w:rPr>
        <w:t>、法定代表人身份证明</w:t>
      </w:r>
    </w:p>
    <w:p>
      <w:pPr>
        <w:tabs>
          <w:tab w:val="left" w:pos="482"/>
          <w:tab w:val="left" w:pos="2183"/>
          <w:tab w:val="left" w:pos="3884"/>
          <w:tab w:val="left" w:pos="5585"/>
        </w:tabs>
        <w:spacing w:line="440" w:lineRule="exact"/>
        <w:rPr>
          <w:sz w:val="20"/>
        </w:rPr>
      </w:pPr>
    </w:p>
    <w:p>
      <w:pPr>
        <w:tabs>
          <w:tab w:val="left" w:pos="482"/>
          <w:tab w:val="left" w:pos="2183"/>
          <w:tab w:val="left" w:pos="3884"/>
          <w:tab w:val="left" w:pos="5585"/>
        </w:tabs>
        <w:spacing w:line="440" w:lineRule="exact"/>
        <w:rPr>
          <w:szCs w:val="21"/>
        </w:rPr>
      </w:pPr>
    </w:p>
    <w:p>
      <w:pPr>
        <w:tabs>
          <w:tab w:val="left" w:pos="482"/>
          <w:tab w:val="left" w:pos="2183"/>
          <w:tab w:val="left" w:pos="3884"/>
          <w:tab w:val="left" w:pos="5585"/>
        </w:tabs>
        <w:spacing w:line="440" w:lineRule="exact"/>
        <w:rPr>
          <w:szCs w:val="21"/>
        </w:rPr>
      </w:pPr>
      <w:r>
        <w:rPr>
          <w:rFonts w:hAnsi="宋体"/>
          <w:szCs w:val="21"/>
        </w:rPr>
        <w:t>投标人名称：</w:t>
      </w:r>
      <w:r>
        <w:rPr>
          <w:szCs w:val="21"/>
          <w:u w:val="single"/>
        </w:rPr>
        <w:t xml:space="preserve">                            </w:t>
      </w:r>
      <w:r>
        <w:rPr>
          <w:szCs w:val="21"/>
        </w:rPr>
        <w:t xml:space="preserve"> </w:t>
      </w:r>
    </w:p>
    <w:p>
      <w:pPr>
        <w:tabs>
          <w:tab w:val="left" w:pos="482"/>
          <w:tab w:val="left" w:pos="2183"/>
          <w:tab w:val="left" w:pos="3884"/>
          <w:tab w:val="left" w:pos="5585"/>
        </w:tabs>
        <w:spacing w:line="440" w:lineRule="exact"/>
        <w:rPr>
          <w:szCs w:val="21"/>
        </w:rPr>
      </w:pPr>
      <w:r>
        <w:rPr>
          <w:rFonts w:hAnsi="宋体"/>
          <w:szCs w:val="21"/>
        </w:rPr>
        <w:t>单位性质：</w:t>
      </w:r>
      <w:r>
        <w:rPr>
          <w:szCs w:val="21"/>
          <w:u w:val="single"/>
        </w:rPr>
        <w:t xml:space="preserve">                               </w:t>
      </w:r>
      <w:r>
        <w:rPr>
          <w:szCs w:val="21"/>
        </w:rPr>
        <w:t xml:space="preserve"> </w:t>
      </w:r>
    </w:p>
    <w:p>
      <w:pPr>
        <w:tabs>
          <w:tab w:val="left" w:pos="482"/>
          <w:tab w:val="left" w:pos="2183"/>
          <w:tab w:val="left" w:pos="3884"/>
          <w:tab w:val="left" w:pos="5585"/>
        </w:tabs>
        <w:spacing w:line="440" w:lineRule="exact"/>
        <w:rPr>
          <w:szCs w:val="21"/>
        </w:rPr>
      </w:pPr>
      <w:r>
        <w:rPr>
          <w:rFonts w:hAnsi="宋体"/>
          <w:szCs w:val="21"/>
        </w:rPr>
        <w:t>地址：</w:t>
      </w:r>
      <w:r>
        <w:rPr>
          <w:szCs w:val="21"/>
          <w:u w:val="single"/>
        </w:rPr>
        <w:t xml:space="preserve">                                   </w:t>
      </w:r>
    </w:p>
    <w:p>
      <w:pPr>
        <w:tabs>
          <w:tab w:val="left" w:pos="482"/>
          <w:tab w:val="left" w:pos="2183"/>
          <w:tab w:val="left" w:pos="3884"/>
          <w:tab w:val="left" w:pos="5585"/>
        </w:tabs>
        <w:spacing w:line="440" w:lineRule="exact"/>
        <w:rPr>
          <w:szCs w:val="21"/>
        </w:rPr>
      </w:pPr>
      <w:r>
        <w:rPr>
          <w:rFonts w:hAnsi="宋体"/>
          <w:szCs w:val="21"/>
        </w:rPr>
        <w:t>成立时间：</w:t>
      </w:r>
      <w:r>
        <w:rPr>
          <w:szCs w:val="21"/>
          <w:u w:val="single"/>
        </w:rPr>
        <w:t xml:space="preserve">         </w:t>
      </w:r>
      <w:r>
        <w:rPr>
          <w:szCs w:val="21"/>
        </w:rPr>
        <w:t xml:space="preserve"> </w:t>
      </w:r>
      <w:r>
        <w:rPr>
          <w:rFonts w:hAnsi="宋体"/>
          <w:szCs w:val="21"/>
        </w:rPr>
        <w:t>年</w:t>
      </w:r>
      <w:r>
        <w:rPr>
          <w:szCs w:val="21"/>
          <w:u w:val="single"/>
        </w:rPr>
        <w:t xml:space="preserve">       </w:t>
      </w:r>
      <w:r>
        <w:rPr>
          <w:szCs w:val="21"/>
        </w:rPr>
        <w:t xml:space="preserve"> </w:t>
      </w:r>
      <w:r>
        <w:rPr>
          <w:rFonts w:hAnsi="宋体"/>
          <w:szCs w:val="21"/>
        </w:rPr>
        <w:t>月</w:t>
      </w:r>
      <w:r>
        <w:rPr>
          <w:szCs w:val="21"/>
          <w:u w:val="single"/>
        </w:rPr>
        <w:t xml:space="preserve">       </w:t>
      </w:r>
      <w:r>
        <w:rPr>
          <w:szCs w:val="21"/>
        </w:rPr>
        <w:t xml:space="preserve"> </w:t>
      </w:r>
      <w:r>
        <w:rPr>
          <w:rFonts w:hAnsi="宋体"/>
          <w:szCs w:val="21"/>
        </w:rPr>
        <w:t>日</w:t>
      </w:r>
    </w:p>
    <w:p>
      <w:pPr>
        <w:tabs>
          <w:tab w:val="left" w:pos="482"/>
          <w:tab w:val="left" w:pos="2183"/>
          <w:tab w:val="left" w:pos="3884"/>
          <w:tab w:val="left" w:pos="5585"/>
        </w:tabs>
        <w:spacing w:line="440" w:lineRule="exact"/>
        <w:rPr>
          <w:szCs w:val="21"/>
        </w:rPr>
      </w:pPr>
      <w:r>
        <w:rPr>
          <w:rFonts w:hAnsi="宋体"/>
          <w:szCs w:val="21"/>
        </w:rPr>
        <w:t>经营期限：</w:t>
      </w:r>
      <w:r>
        <w:rPr>
          <w:szCs w:val="21"/>
          <w:u w:val="single"/>
        </w:rPr>
        <w:t xml:space="preserve">                               </w:t>
      </w:r>
    </w:p>
    <w:p>
      <w:pPr>
        <w:tabs>
          <w:tab w:val="left" w:pos="482"/>
          <w:tab w:val="left" w:pos="2183"/>
          <w:tab w:val="left" w:pos="3884"/>
          <w:tab w:val="left" w:pos="5585"/>
        </w:tabs>
        <w:spacing w:line="440" w:lineRule="exact"/>
        <w:rPr>
          <w:szCs w:val="21"/>
        </w:rPr>
      </w:pPr>
      <w:r>
        <w:rPr>
          <w:rFonts w:hAnsi="宋体"/>
          <w:szCs w:val="21"/>
        </w:rPr>
        <w:t>姓名：</w:t>
      </w:r>
      <w:r>
        <w:rPr>
          <w:szCs w:val="21"/>
          <w:u w:val="single"/>
        </w:rPr>
        <w:t xml:space="preserve">        </w:t>
      </w:r>
      <w:r>
        <w:rPr>
          <w:szCs w:val="21"/>
        </w:rPr>
        <w:t xml:space="preserve"> </w:t>
      </w:r>
      <w:r>
        <w:rPr>
          <w:rFonts w:hAnsi="宋体"/>
          <w:szCs w:val="21"/>
        </w:rPr>
        <w:t>性别：</w:t>
      </w:r>
      <w:r>
        <w:rPr>
          <w:szCs w:val="21"/>
          <w:u w:val="single"/>
        </w:rPr>
        <w:t xml:space="preserve">         </w:t>
      </w:r>
      <w:r>
        <w:rPr>
          <w:szCs w:val="21"/>
        </w:rPr>
        <w:t xml:space="preserve"> </w:t>
      </w:r>
      <w:r>
        <w:rPr>
          <w:rFonts w:hAnsi="宋体"/>
          <w:szCs w:val="21"/>
        </w:rPr>
        <w:t>年龄：</w:t>
      </w:r>
      <w:r>
        <w:rPr>
          <w:szCs w:val="21"/>
          <w:u w:val="single"/>
        </w:rPr>
        <w:t xml:space="preserve">        </w:t>
      </w:r>
      <w:r>
        <w:rPr>
          <w:rFonts w:hAnsi="宋体"/>
          <w:szCs w:val="21"/>
        </w:rPr>
        <w:t>职务：</w:t>
      </w:r>
      <w:r>
        <w:rPr>
          <w:szCs w:val="21"/>
          <w:u w:val="single"/>
        </w:rPr>
        <w:t xml:space="preserve">        </w:t>
      </w:r>
    </w:p>
    <w:p>
      <w:pPr>
        <w:tabs>
          <w:tab w:val="left" w:pos="482"/>
          <w:tab w:val="left" w:pos="2183"/>
          <w:tab w:val="left" w:pos="3884"/>
          <w:tab w:val="left" w:pos="5585"/>
        </w:tabs>
        <w:spacing w:line="440" w:lineRule="exact"/>
        <w:rPr>
          <w:szCs w:val="21"/>
        </w:rPr>
      </w:pPr>
      <w:r>
        <w:rPr>
          <w:rFonts w:hAnsi="宋体"/>
          <w:szCs w:val="21"/>
        </w:rPr>
        <w:t>系</w:t>
      </w:r>
      <w:r>
        <w:rPr>
          <w:szCs w:val="21"/>
          <w:u w:val="single"/>
        </w:rPr>
        <w:t xml:space="preserve">                             </w:t>
      </w:r>
      <w:r>
        <w:rPr>
          <w:szCs w:val="21"/>
        </w:rPr>
        <w:t xml:space="preserve"> </w:t>
      </w:r>
      <w:r>
        <w:rPr>
          <w:rFonts w:hAnsi="宋体"/>
          <w:szCs w:val="21"/>
        </w:rPr>
        <w:t>（投标人名称）的法定代表人。</w:t>
      </w:r>
    </w:p>
    <w:p>
      <w:pPr>
        <w:tabs>
          <w:tab w:val="left" w:pos="482"/>
          <w:tab w:val="left" w:pos="2183"/>
          <w:tab w:val="left" w:pos="3884"/>
          <w:tab w:val="left" w:pos="5585"/>
        </w:tabs>
        <w:spacing w:line="440" w:lineRule="exact"/>
        <w:ind w:firstLine="420" w:firstLineChars="200"/>
        <w:rPr>
          <w:szCs w:val="21"/>
        </w:rPr>
      </w:pPr>
      <w:r>
        <w:rPr>
          <w:rFonts w:hAnsi="宋体"/>
          <w:szCs w:val="21"/>
        </w:rPr>
        <w:t>特此证明。</w:t>
      </w:r>
    </w:p>
    <w:p>
      <w:pPr>
        <w:tabs>
          <w:tab w:val="left" w:pos="482"/>
          <w:tab w:val="left" w:pos="2183"/>
          <w:tab w:val="left" w:pos="3884"/>
          <w:tab w:val="left" w:pos="5585"/>
        </w:tabs>
        <w:spacing w:line="440" w:lineRule="exact"/>
        <w:rPr>
          <w:szCs w:val="21"/>
        </w:rPr>
      </w:pPr>
    </w:p>
    <w:p>
      <w:pPr>
        <w:tabs>
          <w:tab w:val="left" w:pos="482"/>
          <w:tab w:val="left" w:pos="2183"/>
          <w:tab w:val="left" w:pos="3884"/>
          <w:tab w:val="left" w:pos="5585"/>
        </w:tabs>
        <w:spacing w:line="440" w:lineRule="exact"/>
        <w:rPr>
          <w:szCs w:val="21"/>
        </w:rPr>
      </w:pPr>
    </w:p>
    <w:p>
      <w:pPr>
        <w:tabs>
          <w:tab w:val="left" w:pos="482"/>
          <w:tab w:val="left" w:pos="2183"/>
          <w:tab w:val="left" w:pos="3884"/>
          <w:tab w:val="left" w:pos="5585"/>
        </w:tabs>
        <w:spacing w:line="440" w:lineRule="exact"/>
        <w:rPr>
          <w:szCs w:val="21"/>
        </w:rPr>
      </w:pPr>
      <w:r>
        <w:rPr>
          <w:szCs w:val="21"/>
        </w:rPr>
        <w:t xml:space="preserve">                          </w:t>
      </w:r>
      <w:r>
        <w:rPr>
          <w:rFonts w:hAnsi="宋体"/>
          <w:szCs w:val="21"/>
        </w:rPr>
        <w:t>投标人：</w:t>
      </w:r>
      <w:r>
        <w:rPr>
          <w:szCs w:val="21"/>
          <w:u w:val="single"/>
        </w:rPr>
        <w:t xml:space="preserve">                 </w:t>
      </w:r>
      <w:r>
        <w:rPr>
          <w:rFonts w:hAnsi="宋体"/>
          <w:szCs w:val="21"/>
        </w:rPr>
        <w:t>（盖单位章）</w:t>
      </w:r>
    </w:p>
    <w:p>
      <w:pPr>
        <w:tabs>
          <w:tab w:val="left" w:pos="482"/>
          <w:tab w:val="left" w:pos="2183"/>
          <w:tab w:val="left" w:pos="3884"/>
          <w:tab w:val="left" w:pos="5585"/>
        </w:tabs>
        <w:spacing w:line="440" w:lineRule="exact"/>
        <w:rPr>
          <w:bCs/>
        </w:rPr>
      </w:pPr>
      <w:r>
        <w:rPr>
          <w:szCs w:val="21"/>
        </w:rPr>
        <w:t xml:space="preserve">                                   </w:t>
      </w:r>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Ansi="宋体"/>
          <w:szCs w:val="21"/>
        </w:rPr>
        <w:t>日</w:t>
      </w:r>
      <w:r>
        <w:rPr>
          <w:szCs w:val="21"/>
        </w:rPr>
        <w:t xml:space="preserve">           </w:t>
      </w:r>
    </w:p>
    <w:p>
      <w:pPr>
        <w:pStyle w:val="12"/>
        <w:tabs>
          <w:tab w:val="left" w:pos="272"/>
          <w:tab w:val="left" w:pos="412"/>
        </w:tabs>
        <w:spacing w:line="400" w:lineRule="exact"/>
        <w:ind w:firstLine="417" w:firstLineChars="199"/>
        <w:sectPr>
          <w:headerReference r:id="rId5" w:type="default"/>
          <w:footerReference r:id="rId6" w:type="default"/>
          <w:pgSz w:w="11906" w:h="16838"/>
          <w:pgMar w:top="1417" w:right="1474" w:bottom="1361" w:left="1474" w:header="737" w:footer="737" w:gutter="0"/>
          <w:cols w:space="720" w:num="1"/>
          <w:docGrid w:linePitch="312" w:charSpace="0"/>
        </w:sectPr>
      </w:pPr>
      <w:bookmarkStart w:id="265" w:name="_Toc124567681"/>
    </w:p>
    <w:bookmarkEnd w:id="265"/>
    <w:p>
      <w:pPr>
        <w:pStyle w:val="6"/>
        <w:numPr>
          <w:ilvl w:val="0"/>
          <w:numId w:val="9"/>
        </w:numPr>
        <w:tabs>
          <w:tab w:val="left" w:pos="482"/>
          <w:tab w:val="left" w:pos="2183"/>
          <w:tab w:val="left" w:pos="3884"/>
          <w:tab w:val="left" w:pos="5585"/>
        </w:tabs>
        <w:jc w:val="center"/>
        <w:rPr>
          <w:rFonts w:hAnsi="宋体"/>
        </w:rPr>
      </w:pPr>
      <w:r>
        <w:rPr>
          <w:rFonts w:hint="eastAsia" w:hAnsi="宋体"/>
        </w:rPr>
        <w:t>投标分项报价表</w:t>
      </w:r>
    </w:p>
    <w:tbl>
      <w:tblPr>
        <w:tblStyle w:val="32"/>
        <w:tblW w:w="9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25"/>
        <w:gridCol w:w="2437"/>
        <w:gridCol w:w="1304"/>
        <w:gridCol w:w="1029"/>
        <w:gridCol w:w="1077"/>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82" w:type="dxa"/>
            <w:tcBorders>
              <w:top w:val="single" w:color="auto" w:sz="12" w:space="0"/>
              <w:left w:val="single" w:color="auto" w:sz="12" w:space="0"/>
              <w:bottom w:val="single" w:color="auto" w:sz="12" w:space="0"/>
            </w:tcBorders>
            <w:vAlign w:val="center"/>
          </w:tcPr>
          <w:p>
            <w:pPr>
              <w:tabs>
                <w:tab w:val="left" w:pos="482"/>
                <w:tab w:val="left" w:pos="2183"/>
                <w:tab w:val="left" w:pos="3884"/>
                <w:tab w:val="left" w:pos="5585"/>
              </w:tabs>
              <w:ind w:right="-11"/>
              <w:jc w:val="center"/>
              <w:rPr>
                <w:rFonts w:ascii="宋体" w:hAnsi="宋体" w:cs="Arial"/>
                <w:b/>
                <w:bCs/>
              </w:rPr>
            </w:pPr>
            <w:r>
              <w:rPr>
                <w:rFonts w:hint="eastAsia" w:ascii="宋体" w:hAnsi="宋体" w:cs="Arial"/>
                <w:b/>
                <w:bCs/>
              </w:rPr>
              <w:t>序号</w:t>
            </w:r>
          </w:p>
        </w:tc>
        <w:tc>
          <w:tcPr>
            <w:tcW w:w="1225" w:type="dxa"/>
            <w:tcBorders>
              <w:top w:val="single" w:color="auto" w:sz="12" w:space="0"/>
              <w:bottom w:val="single" w:color="auto" w:sz="12" w:space="0"/>
            </w:tcBorders>
            <w:vAlign w:val="center"/>
          </w:tcPr>
          <w:p>
            <w:pPr>
              <w:tabs>
                <w:tab w:val="left" w:pos="482"/>
                <w:tab w:val="left" w:pos="2183"/>
                <w:tab w:val="left" w:pos="3884"/>
                <w:tab w:val="left" w:pos="5585"/>
              </w:tabs>
              <w:ind w:right="-11"/>
              <w:jc w:val="center"/>
              <w:rPr>
                <w:rFonts w:ascii="宋体" w:hAnsi="宋体" w:cs="Arial"/>
                <w:b/>
                <w:bCs/>
              </w:rPr>
            </w:pPr>
            <w:r>
              <w:rPr>
                <w:rFonts w:hint="eastAsia" w:ascii="宋体" w:hAnsi="宋体" w:cs="Arial"/>
                <w:b/>
                <w:bCs/>
              </w:rPr>
              <w:t>产品名称</w:t>
            </w:r>
          </w:p>
        </w:tc>
        <w:tc>
          <w:tcPr>
            <w:tcW w:w="2437" w:type="dxa"/>
            <w:tcBorders>
              <w:top w:val="single" w:color="auto" w:sz="12" w:space="0"/>
              <w:bottom w:val="single" w:color="auto" w:sz="12" w:space="0"/>
            </w:tcBorders>
            <w:vAlign w:val="center"/>
          </w:tcPr>
          <w:p>
            <w:pPr>
              <w:tabs>
                <w:tab w:val="left" w:pos="482"/>
                <w:tab w:val="left" w:pos="2183"/>
                <w:tab w:val="left" w:pos="3884"/>
                <w:tab w:val="left" w:pos="5585"/>
              </w:tabs>
              <w:ind w:right="-11"/>
              <w:jc w:val="center"/>
              <w:rPr>
                <w:rFonts w:ascii="宋体" w:hAnsi="宋体" w:cs="Arial"/>
                <w:b/>
                <w:bCs/>
              </w:rPr>
            </w:pPr>
            <w:r>
              <w:rPr>
                <w:rFonts w:hint="eastAsia" w:ascii="宋体" w:hAnsi="宋体" w:cs="Arial"/>
                <w:b/>
                <w:bCs/>
              </w:rPr>
              <w:t>规格</w:t>
            </w:r>
          </w:p>
        </w:tc>
        <w:tc>
          <w:tcPr>
            <w:tcW w:w="1304" w:type="dxa"/>
            <w:tcBorders>
              <w:top w:val="single" w:color="auto" w:sz="12" w:space="0"/>
              <w:bottom w:val="single" w:color="auto" w:sz="12" w:space="0"/>
            </w:tcBorders>
            <w:vAlign w:val="center"/>
          </w:tcPr>
          <w:p>
            <w:pPr>
              <w:tabs>
                <w:tab w:val="left" w:pos="482"/>
                <w:tab w:val="left" w:pos="2183"/>
                <w:tab w:val="left" w:pos="3884"/>
                <w:tab w:val="left" w:pos="5585"/>
              </w:tabs>
              <w:ind w:right="-11"/>
              <w:jc w:val="center"/>
              <w:rPr>
                <w:rFonts w:ascii="宋体" w:hAnsi="宋体" w:cs="Arial"/>
                <w:b/>
                <w:bCs/>
              </w:rPr>
            </w:pPr>
            <w:r>
              <w:rPr>
                <w:rFonts w:hint="eastAsia" w:ascii="宋体" w:hAnsi="宋体" w:cs="Arial"/>
                <w:b/>
                <w:bCs/>
              </w:rPr>
              <w:t>数量（个）</w:t>
            </w:r>
          </w:p>
        </w:tc>
        <w:tc>
          <w:tcPr>
            <w:tcW w:w="1029" w:type="dxa"/>
            <w:tcBorders>
              <w:top w:val="single" w:color="auto" w:sz="12" w:space="0"/>
              <w:bottom w:val="single" w:color="auto" w:sz="12" w:space="0"/>
            </w:tcBorders>
            <w:vAlign w:val="center"/>
          </w:tcPr>
          <w:p>
            <w:pPr>
              <w:tabs>
                <w:tab w:val="left" w:pos="482"/>
                <w:tab w:val="left" w:pos="2183"/>
                <w:tab w:val="left" w:pos="3884"/>
                <w:tab w:val="left" w:pos="5585"/>
              </w:tabs>
              <w:ind w:right="-11"/>
              <w:jc w:val="center"/>
              <w:rPr>
                <w:rFonts w:ascii="宋体" w:hAnsi="宋体" w:cs="Arial"/>
                <w:b/>
                <w:bCs/>
              </w:rPr>
            </w:pPr>
            <w:r>
              <w:rPr>
                <w:rFonts w:hint="eastAsia" w:ascii="宋体" w:hAnsi="宋体" w:cs="Arial"/>
                <w:b/>
                <w:bCs/>
              </w:rPr>
              <w:t>单价</w:t>
            </w:r>
          </w:p>
          <w:p>
            <w:pPr>
              <w:tabs>
                <w:tab w:val="left" w:pos="482"/>
                <w:tab w:val="left" w:pos="2183"/>
                <w:tab w:val="left" w:pos="3884"/>
                <w:tab w:val="left" w:pos="5585"/>
              </w:tabs>
              <w:ind w:right="-11"/>
              <w:jc w:val="center"/>
              <w:rPr>
                <w:rFonts w:ascii="宋体" w:hAnsi="宋体" w:cs="Arial"/>
                <w:b/>
              </w:rPr>
            </w:pPr>
            <w:r>
              <w:rPr>
                <w:rFonts w:hint="eastAsia" w:ascii="宋体" w:hAnsi="宋体" w:cs="Arial"/>
                <w:b/>
              </w:rPr>
              <w:t>（含税）</w:t>
            </w:r>
          </w:p>
        </w:tc>
        <w:tc>
          <w:tcPr>
            <w:tcW w:w="1077" w:type="dxa"/>
            <w:tcBorders>
              <w:top w:val="single" w:color="auto" w:sz="12" w:space="0"/>
              <w:bottom w:val="single" w:color="auto" w:sz="12" w:space="0"/>
            </w:tcBorders>
            <w:vAlign w:val="center"/>
          </w:tcPr>
          <w:p>
            <w:pPr>
              <w:tabs>
                <w:tab w:val="left" w:pos="482"/>
                <w:tab w:val="left" w:pos="2183"/>
                <w:tab w:val="left" w:pos="3884"/>
                <w:tab w:val="left" w:pos="5585"/>
              </w:tabs>
              <w:ind w:right="-11"/>
              <w:jc w:val="center"/>
              <w:rPr>
                <w:rFonts w:ascii="宋体" w:hAnsi="宋体" w:cs="Arial"/>
                <w:b/>
                <w:bCs/>
              </w:rPr>
            </w:pPr>
            <w:r>
              <w:rPr>
                <w:rFonts w:hint="eastAsia" w:ascii="宋体" w:hAnsi="宋体" w:cs="Arial"/>
                <w:b/>
                <w:bCs/>
              </w:rPr>
              <w:t>合价</w:t>
            </w:r>
          </w:p>
          <w:p>
            <w:pPr>
              <w:tabs>
                <w:tab w:val="left" w:pos="482"/>
                <w:tab w:val="left" w:pos="2183"/>
                <w:tab w:val="left" w:pos="3884"/>
                <w:tab w:val="left" w:pos="5585"/>
              </w:tabs>
              <w:ind w:right="-11"/>
              <w:jc w:val="center"/>
              <w:rPr>
                <w:rFonts w:ascii="宋体" w:hAnsi="宋体" w:cs="Arial"/>
                <w:b/>
              </w:rPr>
            </w:pPr>
            <w:r>
              <w:rPr>
                <w:rFonts w:hint="eastAsia" w:ascii="宋体" w:hAnsi="宋体" w:cs="Arial"/>
                <w:b/>
              </w:rPr>
              <w:t>（含税）</w:t>
            </w:r>
          </w:p>
        </w:tc>
        <w:tc>
          <w:tcPr>
            <w:tcW w:w="1120" w:type="dxa"/>
            <w:tcBorders>
              <w:top w:val="single" w:color="auto" w:sz="12" w:space="0"/>
              <w:bottom w:val="single" w:color="auto" w:sz="12" w:space="0"/>
              <w:right w:val="single" w:color="auto" w:sz="12" w:space="0"/>
            </w:tcBorders>
            <w:vAlign w:val="center"/>
          </w:tcPr>
          <w:p>
            <w:pPr>
              <w:tabs>
                <w:tab w:val="left" w:pos="482"/>
                <w:tab w:val="left" w:pos="2183"/>
                <w:tab w:val="left" w:pos="3884"/>
                <w:tab w:val="left" w:pos="5585"/>
              </w:tabs>
              <w:ind w:right="-11"/>
              <w:jc w:val="center"/>
              <w:rPr>
                <w:rFonts w:ascii="宋体" w:hAnsi="宋体" w:cs="Arial"/>
                <w:b/>
                <w:bCs/>
              </w:rPr>
            </w:pPr>
            <w:r>
              <w:rPr>
                <w:rFonts w:hint="eastAsia" w:ascii="宋体" w:hAnsi="宋体" w:cs="Arial"/>
                <w:b/>
                <w:bC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2" w:type="dxa"/>
            <w:tcBorders>
              <w:left w:val="single" w:color="auto" w:sz="12" w:space="0"/>
            </w:tcBorders>
            <w:vAlign w:val="center"/>
          </w:tcPr>
          <w:p>
            <w:pPr>
              <w:tabs>
                <w:tab w:val="left" w:pos="482"/>
                <w:tab w:val="left" w:pos="2183"/>
                <w:tab w:val="left" w:pos="3884"/>
                <w:tab w:val="left" w:pos="5585"/>
              </w:tabs>
              <w:jc w:val="center"/>
              <w:rPr>
                <w:color w:val="000000"/>
              </w:rPr>
            </w:pPr>
            <w:r>
              <w:rPr>
                <w:rFonts w:hint="eastAsia"/>
                <w:color w:val="000000"/>
              </w:rPr>
              <w:t>No.1</w:t>
            </w:r>
          </w:p>
        </w:tc>
        <w:tc>
          <w:tcPr>
            <w:tcW w:w="1225" w:type="dxa"/>
            <w:vAlign w:val="center"/>
          </w:tcPr>
          <w:p>
            <w:pPr>
              <w:tabs>
                <w:tab w:val="left" w:pos="482"/>
                <w:tab w:val="left" w:pos="2183"/>
                <w:tab w:val="left" w:pos="3884"/>
                <w:tab w:val="left" w:pos="5585"/>
              </w:tabs>
              <w:jc w:val="center"/>
              <w:rPr>
                <w:color w:val="000000"/>
              </w:rPr>
            </w:pPr>
            <w:r>
              <w:rPr>
                <w:rFonts w:hint="eastAsia"/>
                <w:color w:val="000000"/>
              </w:rPr>
              <w:t>玻璃门</w:t>
            </w:r>
          </w:p>
        </w:tc>
        <w:tc>
          <w:tcPr>
            <w:tcW w:w="2437" w:type="dxa"/>
            <w:vAlign w:val="center"/>
          </w:tcPr>
          <w:p>
            <w:pPr>
              <w:tabs>
                <w:tab w:val="left" w:pos="482"/>
                <w:tab w:val="left" w:pos="2183"/>
                <w:tab w:val="left" w:pos="3884"/>
                <w:tab w:val="left" w:pos="5585"/>
              </w:tabs>
              <w:jc w:val="center"/>
              <w:rPr>
                <w:color w:val="000000"/>
              </w:rPr>
            </w:pPr>
            <w:r>
              <w:rPr>
                <w:rFonts w:hint="eastAsia"/>
                <w:color w:val="000000"/>
              </w:rPr>
              <w:t>2850mm*2360mm</w:t>
            </w:r>
          </w:p>
        </w:tc>
        <w:tc>
          <w:tcPr>
            <w:tcW w:w="1304" w:type="dxa"/>
            <w:vAlign w:val="center"/>
          </w:tcPr>
          <w:p>
            <w:pPr>
              <w:tabs>
                <w:tab w:val="left" w:pos="482"/>
                <w:tab w:val="left" w:pos="2183"/>
                <w:tab w:val="left" w:pos="3884"/>
                <w:tab w:val="left" w:pos="5585"/>
              </w:tabs>
              <w:jc w:val="center"/>
              <w:rPr>
                <w:color w:val="000000"/>
              </w:rPr>
            </w:pPr>
            <w:r>
              <w:rPr>
                <w:rFonts w:hint="eastAsia"/>
                <w:color w:val="000000"/>
              </w:rPr>
              <w:t>8</w:t>
            </w:r>
          </w:p>
        </w:tc>
        <w:tc>
          <w:tcPr>
            <w:tcW w:w="1029" w:type="dxa"/>
            <w:vAlign w:val="center"/>
          </w:tcPr>
          <w:p>
            <w:pPr>
              <w:tabs>
                <w:tab w:val="left" w:pos="482"/>
                <w:tab w:val="left" w:pos="2183"/>
                <w:tab w:val="left" w:pos="3884"/>
                <w:tab w:val="left" w:pos="5585"/>
              </w:tabs>
              <w:ind w:right="-11"/>
              <w:jc w:val="center"/>
              <w:rPr>
                <w:color w:val="000000"/>
              </w:rPr>
            </w:pPr>
          </w:p>
        </w:tc>
        <w:tc>
          <w:tcPr>
            <w:tcW w:w="1077" w:type="dxa"/>
            <w:vAlign w:val="center"/>
          </w:tcPr>
          <w:p>
            <w:pPr>
              <w:tabs>
                <w:tab w:val="left" w:pos="482"/>
                <w:tab w:val="left" w:pos="2183"/>
                <w:tab w:val="left" w:pos="3884"/>
                <w:tab w:val="left" w:pos="5585"/>
              </w:tabs>
              <w:ind w:right="-11"/>
              <w:jc w:val="center"/>
              <w:rPr>
                <w:color w:val="000000"/>
              </w:rPr>
            </w:pPr>
          </w:p>
        </w:tc>
        <w:tc>
          <w:tcPr>
            <w:tcW w:w="1120" w:type="dxa"/>
            <w:tcBorders>
              <w:right w:val="single" w:color="auto" w:sz="12" w:space="0"/>
            </w:tcBorders>
            <w:vAlign w:val="center"/>
          </w:tcPr>
          <w:p>
            <w:pPr>
              <w:tabs>
                <w:tab w:val="left" w:pos="482"/>
                <w:tab w:val="left" w:pos="2183"/>
                <w:tab w:val="left" w:pos="3884"/>
                <w:tab w:val="left" w:pos="5585"/>
              </w:tabs>
              <w:ind w:right="-11"/>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0" w:hRule="atLeast"/>
        </w:trPr>
        <w:tc>
          <w:tcPr>
            <w:tcW w:w="982" w:type="dxa"/>
            <w:tcBorders>
              <w:left w:val="single" w:color="auto" w:sz="12" w:space="0"/>
            </w:tcBorders>
            <w:vAlign w:val="center"/>
          </w:tcPr>
          <w:p>
            <w:pPr>
              <w:tabs>
                <w:tab w:val="left" w:pos="482"/>
                <w:tab w:val="left" w:pos="2183"/>
                <w:tab w:val="left" w:pos="3884"/>
                <w:tab w:val="left" w:pos="5585"/>
              </w:tabs>
              <w:jc w:val="center"/>
              <w:rPr>
                <w:color w:val="000000"/>
              </w:rPr>
            </w:pPr>
            <w:r>
              <w:rPr>
                <w:rFonts w:hint="eastAsia"/>
                <w:color w:val="000000"/>
              </w:rPr>
              <w:t>No.2</w:t>
            </w:r>
          </w:p>
        </w:tc>
        <w:tc>
          <w:tcPr>
            <w:tcW w:w="1225" w:type="dxa"/>
            <w:vAlign w:val="center"/>
          </w:tcPr>
          <w:p>
            <w:pPr>
              <w:tabs>
                <w:tab w:val="left" w:pos="482"/>
                <w:tab w:val="left" w:pos="2183"/>
                <w:tab w:val="left" w:pos="3884"/>
                <w:tab w:val="left" w:pos="5585"/>
              </w:tabs>
              <w:jc w:val="center"/>
              <w:rPr>
                <w:color w:val="000000"/>
              </w:rPr>
            </w:pPr>
            <w:r>
              <w:rPr>
                <w:rFonts w:hint="eastAsia"/>
                <w:color w:val="000000"/>
              </w:rPr>
              <w:t>门禁</w:t>
            </w:r>
          </w:p>
        </w:tc>
        <w:tc>
          <w:tcPr>
            <w:tcW w:w="2437" w:type="dxa"/>
            <w:vAlign w:val="center"/>
          </w:tcPr>
          <w:p>
            <w:pPr>
              <w:tabs>
                <w:tab w:val="left" w:pos="482"/>
                <w:tab w:val="left" w:pos="2183"/>
                <w:tab w:val="left" w:pos="3884"/>
                <w:tab w:val="left" w:pos="5585"/>
              </w:tabs>
              <w:jc w:val="center"/>
              <w:rPr>
                <w:color w:val="000000"/>
              </w:rPr>
            </w:pPr>
            <w:r>
              <w:rPr>
                <w:rFonts w:hint="eastAsia"/>
                <w:color w:val="000000"/>
              </w:rPr>
              <w:t>以医院内已投入使用的peak门禁系统为准</w:t>
            </w:r>
          </w:p>
        </w:tc>
        <w:tc>
          <w:tcPr>
            <w:tcW w:w="1304" w:type="dxa"/>
            <w:vAlign w:val="center"/>
          </w:tcPr>
          <w:p>
            <w:pPr>
              <w:tabs>
                <w:tab w:val="left" w:pos="482"/>
                <w:tab w:val="left" w:pos="2183"/>
                <w:tab w:val="left" w:pos="3884"/>
                <w:tab w:val="left" w:pos="5585"/>
              </w:tabs>
              <w:jc w:val="center"/>
              <w:rPr>
                <w:color w:val="000000"/>
              </w:rPr>
            </w:pPr>
            <w:r>
              <w:rPr>
                <w:rFonts w:hint="eastAsia"/>
                <w:color w:val="000000"/>
              </w:rPr>
              <w:t>8</w:t>
            </w:r>
          </w:p>
        </w:tc>
        <w:tc>
          <w:tcPr>
            <w:tcW w:w="1029" w:type="dxa"/>
            <w:vAlign w:val="center"/>
          </w:tcPr>
          <w:p>
            <w:pPr>
              <w:tabs>
                <w:tab w:val="left" w:pos="482"/>
                <w:tab w:val="left" w:pos="2183"/>
                <w:tab w:val="left" w:pos="3884"/>
                <w:tab w:val="left" w:pos="5585"/>
              </w:tabs>
              <w:ind w:right="-11"/>
              <w:jc w:val="center"/>
              <w:rPr>
                <w:color w:val="000000"/>
              </w:rPr>
            </w:pPr>
          </w:p>
        </w:tc>
        <w:tc>
          <w:tcPr>
            <w:tcW w:w="1077" w:type="dxa"/>
            <w:vAlign w:val="center"/>
          </w:tcPr>
          <w:p>
            <w:pPr>
              <w:tabs>
                <w:tab w:val="left" w:pos="482"/>
                <w:tab w:val="left" w:pos="2183"/>
                <w:tab w:val="left" w:pos="3884"/>
                <w:tab w:val="left" w:pos="5585"/>
              </w:tabs>
              <w:ind w:right="-11"/>
              <w:jc w:val="center"/>
              <w:rPr>
                <w:color w:val="000000"/>
              </w:rPr>
            </w:pPr>
          </w:p>
        </w:tc>
        <w:tc>
          <w:tcPr>
            <w:tcW w:w="1120" w:type="dxa"/>
            <w:tcBorders>
              <w:right w:val="single" w:color="auto" w:sz="12" w:space="0"/>
            </w:tcBorders>
            <w:vAlign w:val="center"/>
          </w:tcPr>
          <w:p>
            <w:pPr>
              <w:tabs>
                <w:tab w:val="left" w:pos="482"/>
                <w:tab w:val="left" w:pos="2183"/>
                <w:tab w:val="left" w:pos="3884"/>
                <w:tab w:val="left" w:pos="5585"/>
              </w:tabs>
              <w:ind w:right="-11"/>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4644" w:type="dxa"/>
            <w:gridSpan w:val="3"/>
            <w:tcBorders>
              <w:left w:val="single" w:color="auto" w:sz="12" w:space="0"/>
              <w:bottom w:val="single" w:color="auto" w:sz="12" w:space="0"/>
            </w:tcBorders>
            <w:vAlign w:val="center"/>
          </w:tcPr>
          <w:p>
            <w:pPr>
              <w:tabs>
                <w:tab w:val="left" w:pos="482"/>
                <w:tab w:val="left" w:pos="2183"/>
                <w:tab w:val="left" w:pos="3884"/>
                <w:tab w:val="left" w:pos="5585"/>
              </w:tabs>
              <w:ind w:right="-10"/>
              <w:jc w:val="center"/>
              <w:rPr>
                <w:rFonts w:ascii="宋体" w:hAnsi="宋体" w:cs="Arial"/>
                <w:b/>
                <w:bCs/>
              </w:rPr>
            </w:pPr>
            <w:r>
              <w:rPr>
                <w:rFonts w:hint="eastAsia" w:ascii="宋体" w:hAnsi="宋体" w:cs="Arial"/>
                <w:b/>
                <w:bCs/>
              </w:rPr>
              <w:t>工程总价</w:t>
            </w:r>
          </w:p>
        </w:tc>
        <w:tc>
          <w:tcPr>
            <w:tcW w:w="4530" w:type="dxa"/>
            <w:gridSpan w:val="4"/>
            <w:tcBorders>
              <w:bottom w:val="single" w:color="auto" w:sz="12" w:space="0"/>
              <w:right w:val="single" w:color="auto" w:sz="12" w:space="0"/>
            </w:tcBorders>
            <w:vAlign w:val="center"/>
          </w:tcPr>
          <w:p>
            <w:pPr>
              <w:tabs>
                <w:tab w:val="left" w:pos="482"/>
                <w:tab w:val="left" w:pos="2183"/>
                <w:tab w:val="left" w:pos="3884"/>
                <w:tab w:val="left" w:pos="5585"/>
              </w:tabs>
              <w:ind w:right="-10"/>
              <w:jc w:val="center"/>
              <w:rPr>
                <w:rFonts w:ascii="宋体" w:hAnsi="宋体" w:cs="Ari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10" w:hRule="atLeast"/>
        </w:trPr>
        <w:tc>
          <w:tcPr>
            <w:tcW w:w="9174" w:type="dxa"/>
            <w:gridSpan w:val="7"/>
            <w:tcBorders>
              <w:top w:val="single" w:color="auto" w:sz="12" w:space="0"/>
              <w:left w:val="single" w:color="auto" w:sz="12" w:space="0"/>
              <w:right w:val="single" w:color="auto" w:sz="12" w:space="0"/>
            </w:tcBorders>
            <w:vAlign w:val="center"/>
          </w:tcPr>
          <w:p>
            <w:pPr>
              <w:tabs>
                <w:tab w:val="left" w:pos="482"/>
                <w:tab w:val="left" w:pos="2183"/>
                <w:tab w:val="left" w:pos="3884"/>
                <w:tab w:val="left" w:pos="5585"/>
              </w:tabs>
              <w:spacing w:line="340" w:lineRule="exact"/>
              <w:rPr>
                <w:rFonts w:ascii="宋体" w:hAnsi="宋体" w:cs="Arial"/>
                <w:sz w:val="22"/>
                <w:szCs w:val="22"/>
              </w:rPr>
            </w:pPr>
            <w:r>
              <w:rPr>
                <w:rFonts w:hint="eastAsia" w:ascii="宋体" w:hAnsi="宋体" w:cs="Arial"/>
                <w:sz w:val="22"/>
                <w:szCs w:val="22"/>
              </w:rPr>
              <w:t>报价需包括：</w:t>
            </w:r>
          </w:p>
          <w:p>
            <w:pPr>
              <w:numPr>
                <w:ilvl w:val="0"/>
                <w:numId w:val="10"/>
              </w:numPr>
              <w:tabs>
                <w:tab w:val="left" w:pos="482"/>
                <w:tab w:val="left" w:pos="2183"/>
                <w:tab w:val="left" w:pos="3884"/>
                <w:tab w:val="left" w:pos="5585"/>
              </w:tabs>
              <w:ind w:right="-11"/>
              <w:rPr>
                <w:rFonts w:ascii="宋体" w:hAnsi="宋体" w:cs="Arial"/>
                <w:sz w:val="22"/>
                <w:szCs w:val="22"/>
              </w:rPr>
            </w:pPr>
            <w:r>
              <w:rPr>
                <w:rFonts w:hint="eastAsia" w:ascii="宋体" w:hAnsi="宋体" w:cs="Arial"/>
                <w:sz w:val="22"/>
                <w:szCs w:val="22"/>
              </w:rPr>
              <w:t>玻璃门的运杂及保险费（含卸货）</w:t>
            </w:r>
            <w:r>
              <w:rPr>
                <w:rFonts w:hint="eastAsia" w:ascii="宋体" w:hAnsi="宋体"/>
                <w:sz w:val="22"/>
                <w:szCs w:val="22"/>
              </w:rPr>
              <w:t>安装调试费（包括设备的测试、调试、验收等费用）、</w:t>
            </w:r>
            <w:r>
              <w:rPr>
                <w:rFonts w:hint="eastAsia" w:ascii="宋体" w:hAnsi="宋体" w:cs="Arial"/>
                <w:sz w:val="22"/>
                <w:szCs w:val="22"/>
              </w:rPr>
              <w:t>技术培训费、技术服务费、售后服务费等其他相关费用。</w:t>
            </w:r>
          </w:p>
          <w:p>
            <w:pPr>
              <w:numPr>
                <w:ilvl w:val="0"/>
                <w:numId w:val="10"/>
              </w:numPr>
              <w:tabs>
                <w:tab w:val="left" w:pos="482"/>
                <w:tab w:val="left" w:pos="2183"/>
                <w:tab w:val="left" w:pos="3884"/>
                <w:tab w:val="left" w:pos="5585"/>
              </w:tabs>
              <w:ind w:right="-11"/>
              <w:rPr>
                <w:rFonts w:ascii="宋体" w:hAnsi="宋体" w:cs="Arial"/>
                <w:sz w:val="22"/>
                <w:szCs w:val="22"/>
              </w:rPr>
            </w:pPr>
            <w:r>
              <w:rPr>
                <w:rFonts w:hint="eastAsia" w:ascii="宋体" w:hAnsi="宋体" w:cs="Arial"/>
                <w:sz w:val="22"/>
                <w:szCs w:val="22"/>
              </w:rPr>
              <w:t>配套门禁的装卸、运输、管理费、税金、门禁系统配合费用、因质量问题引起的维修和更换、技术指导及技术培训等所发生的一切费用，以及安装调试的人工费用、机械费用、安全文明施工费用、清洁费用等。门禁配件应包含：门禁控制器、CPU卡读卡器、出门86型按钮、电子锁扣、双磁力锁、门禁电源、锁用电源、中间继电器等。本项目需接入医院现有的门禁管理系统（原施工单位为奥乐科技有限公司），配合费用500元/套，共计7500元，纳入总报价，并在开工前支付给奥乐科技有限公司。同时为保证兼容性，门禁控制器选用品牌需选用peak。</w:t>
            </w:r>
          </w:p>
          <w:p>
            <w:pPr>
              <w:numPr>
                <w:ilvl w:val="0"/>
                <w:numId w:val="10"/>
              </w:numPr>
              <w:tabs>
                <w:tab w:val="left" w:pos="482"/>
                <w:tab w:val="left" w:pos="2183"/>
                <w:tab w:val="left" w:pos="3884"/>
                <w:tab w:val="left" w:pos="5585"/>
              </w:tabs>
              <w:ind w:right="-11"/>
              <w:rPr>
                <w:rFonts w:ascii="宋体" w:hAnsi="宋体"/>
                <w:bCs/>
                <w:sz w:val="22"/>
              </w:rPr>
            </w:pPr>
            <w:r>
              <w:rPr>
                <w:rFonts w:hint="eastAsia" w:ascii="宋体" w:hAnsi="宋体" w:cs="Arial"/>
                <w:sz w:val="22"/>
                <w:szCs w:val="22"/>
              </w:rPr>
              <w:t>招标代理服务费人民币陆仟元整（¥：6000元）。</w:t>
            </w:r>
          </w:p>
        </w:tc>
      </w:tr>
    </w:tbl>
    <w:p>
      <w:pPr>
        <w:pStyle w:val="12"/>
        <w:tabs>
          <w:tab w:val="left" w:pos="272"/>
          <w:tab w:val="left" w:pos="412"/>
        </w:tabs>
        <w:ind w:firstLine="417" w:firstLineChars="199"/>
        <w:rPr>
          <w:rFonts w:hAnsi="宋体"/>
          <w:bCs/>
          <w:szCs w:val="21"/>
        </w:rPr>
      </w:pPr>
    </w:p>
    <w:p>
      <w:pPr>
        <w:pStyle w:val="12"/>
        <w:tabs>
          <w:tab w:val="left" w:pos="272"/>
          <w:tab w:val="left" w:pos="412"/>
        </w:tabs>
        <w:ind w:firstLine="417" w:firstLineChars="199"/>
        <w:rPr>
          <w:rFonts w:hAnsi="宋体"/>
          <w:bCs/>
          <w:szCs w:val="21"/>
        </w:rPr>
      </w:pPr>
      <w:r>
        <w:rPr>
          <w:rFonts w:hint="eastAsia" w:hAnsi="宋体"/>
          <w:bCs/>
          <w:szCs w:val="21"/>
        </w:rPr>
        <w:t>1、玻璃门尺寸按照2850mm*2360mm报价，各个楼层的现场实际尺寸略有偏差，安装时以实际尺寸为准，并不再调整价差。</w:t>
      </w:r>
    </w:p>
    <w:p>
      <w:pPr>
        <w:pStyle w:val="12"/>
        <w:tabs>
          <w:tab w:val="left" w:pos="272"/>
          <w:tab w:val="left" w:pos="412"/>
        </w:tabs>
        <w:ind w:firstLine="417" w:firstLineChars="199"/>
        <w:rPr>
          <w:rFonts w:hAnsi="宋体"/>
          <w:bCs/>
          <w:szCs w:val="21"/>
        </w:rPr>
      </w:pPr>
      <w:r>
        <w:rPr>
          <w:rFonts w:hint="eastAsia" w:hAnsi="宋体"/>
          <w:bCs/>
          <w:szCs w:val="21"/>
        </w:rPr>
        <w:t>2、工程总价应与投标函中投标报价相一致。</w:t>
      </w:r>
    </w:p>
    <w:p>
      <w:pPr>
        <w:pStyle w:val="12"/>
        <w:tabs>
          <w:tab w:val="left" w:pos="272"/>
          <w:tab w:val="left" w:pos="412"/>
        </w:tabs>
        <w:ind w:firstLine="417" w:firstLineChars="199"/>
        <w:rPr>
          <w:rFonts w:hAnsi="宋体"/>
          <w:bCs/>
          <w:szCs w:val="21"/>
        </w:rPr>
      </w:pPr>
    </w:p>
    <w:p>
      <w:pPr>
        <w:pStyle w:val="12"/>
        <w:tabs>
          <w:tab w:val="left" w:pos="272"/>
          <w:tab w:val="left" w:pos="412"/>
        </w:tabs>
        <w:ind w:firstLine="417" w:firstLineChars="199"/>
        <w:rPr>
          <w:rFonts w:hAnsi="宋体"/>
          <w:bCs/>
          <w:szCs w:val="21"/>
        </w:rPr>
      </w:pPr>
    </w:p>
    <w:p>
      <w:pPr>
        <w:pStyle w:val="12"/>
        <w:tabs>
          <w:tab w:val="left" w:pos="272"/>
          <w:tab w:val="left" w:pos="412"/>
        </w:tabs>
        <w:ind w:firstLine="417" w:firstLineChars="199"/>
        <w:rPr>
          <w:bCs/>
          <w:szCs w:val="21"/>
        </w:rPr>
      </w:pPr>
      <w:r>
        <w:rPr>
          <w:rFonts w:hAnsi="宋体"/>
          <w:bCs/>
          <w:szCs w:val="21"/>
        </w:rPr>
        <w:t>投标人（盖章）：</w:t>
      </w:r>
    </w:p>
    <w:p>
      <w:pPr>
        <w:pStyle w:val="12"/>
        <w:tabs>
          <w:tab w:val="left" w:pos="272"/>
          <w:tab w:val="left" w:pos="412"/>
        </w:tabs>
        <w:ind w:firstLine="417" w:firstLineChars="199"/>
        <w:rPr>
          <w:rFonts w:hAnsi="宋体"/>
          <w:bCs/>
          <w:szCs w:val="21"/>
        </w:rPr>
      </w:pPr>
    </w:p>
    <w:p>
      <w:pPr>
        <w:pStyle w:val="12"/>
        <w:tabs>
          <w:tab w:val="left" w:pos="272"/>
          <w:tab w:val="left" w:pos="412"/>
        </w:tabs>
        <w:ind w:firstLine="417" w:firstLineChars="199"/>
        <w:rPr>
          <w:rFonts w:hAnsi="宋体"/>
          <w:bCs/>
          <w:szCs w:val="21"/>
        </w:rPr>
      </w:pPr>
    </w:p>
    <w:p>
      <w:pPr>
        <w:pStyle w:val="12"/>
        <w:tabs>
          <w:tab w:val="left" w:pos="272"/>
          <w:tab w:val="left" w:pos="412"/>
        </w:tabs>
        <w:ind w:firstLine="417" w:firstLineChars="199"/>
        <w:rPr>
          <w:bCs/>
          <w:szCs w:val="21"/>
        </w:rPr>
      </w:pPr>
      <w:r>
        <w:rPr>
          <w:rFonts w:hAnsi="宋体"/>
          <w:bCs/>
          <w:szCs w:val="21"/>
        </w:rPr>
        <w:t>法定代表人或其授权委托代理人签字或盖章：</w:t>
      </w:r>
      <w:r>
        <w:rPr>
          <w:bCs/>
          <w:szCs w:val="21"/>
        </w:rPr>
        <w:t xml:space="preserve">           </w:t>
      </w:r>
    </w:p>
    <w:p>
      <w:pPr>
        <w:pStyle w:val="12"/>
        <w:tabs>
          <w:tab w:val="left" w:pos="272"/>
          <w:tab w:val="left" w:pos="412"/>
        </w:tabs>
        <w:ind w:firstLine="417" w:firstLineChars="199"/>
        <w:rPr>
          <w:rFonts w:hAnsi="宋体"/>
          <w:bCs/>
          <w:szCs w:val="21"/>
        </w:rPr>
      </w:pPr>
    </w:p>
    <w:p>
      <w:pPr>
        <w:pStyle w:val="12"/>
        <w:tabs>
          <w:tab w:val="left" w:pos="272"/>
          <w:tab w:val="left" w:pos="412"/>
        </w:tabs>
        <w:ind w:firstLine="417" w:firstLineChars="199"/>
        <w:rPr>
          <w:rFonts w:hAnsi="宋体"/>
          <w:bCs/>
          <w:szCs w:val="21"/>
        </w:rPr>
      </w:pPr>
    </w:p>
    <w:p>
      <w:pPr>
        <w:pStyle w:val="12"/>
        <w:tabs>
          <w:tab w:val="left" w:pos="272"/>
          <w:tab w:val="left" w:pos="412"/>
        </w:tabs>
        <w:ind w:firstLine="417" w:firstLineChars="199"/>
        <w:rPr>
          <w:bCs/>
          <w:szCs w:val="21"/>
        </w:rPr>
      </w:pPr>
      <w:r>
        <w:rPr>
          <w:rFonts w:hAnsi="宋体"/>
          <w:bCs/>
          <w:szCs w:val="21"/>
        </w:rPr>
        <w:t>日期：</w:t>
      </w:r>
    </w:p>
    <w:p>
      <w:pPr>
        <w:tabs>
          <w:tab w:val="left" w:pos="482"/>
          <w:tab w:val="left" w:pos="2183"/>
          <w:tab w:val="left" w:pos="3884"/>
          <w:tab w:val="left" w:pos="5585"/>
        </w:tabs>
        <w:spacing w:line="400" w:lineRule="exact"/>
        <w:ind w:firstLine="11570" w:firstLineChars="2225"/>
        <w:rPr>
          <w:sz w:val="52"/>
        </w:rPr>
        <w:sectPr>
          <w:pgSz w:w="11906" w:h="16838"/>
          <w:pgMar w:top="1418" w:right="1474" w:bottom="1361" w:left="1474" w:header="737" w:footer="737" w:gutter="0"/>
          <w:cols w:space="720" w:num="1"/>
          <w:docGrid w:linePitch="312" w:charSpace="0"/>
        </w:sectPr>
      </w:pPr>
    </w:p>
    <w:p>
      <w:pPr>
        <w:pStyle w:val="6"/>
        <w:jc w:val="center"/>
      </w:pPr>
      <w:r>
        <w:rPr>
          <w:rFonts w:hint="eastAsia"/>
        </w:rPr>
        <w:t>4</w:t>
      </w:r>
      <w:r>
        <w:rPr>
          <w:rFonts w:hAnsi="宋体"/>
        </w:rPr>
        <w:t>、商务偏离表</w:t>
      </w:r>
    </w:p>
    <w:tbl>
      <w:tblPr>
        <w:tblStyle w:val="32"/>
        <w:tblW w:w="9063" w:type="dxa"/>
        <w:jc w:val="center"/>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80"/>
        <w:gridCol w:w="962"/>
        <w:gridCol w:w="1654"/>
        <w:gridCol w:w="1969"/>
        <w:gridCol w:w="2111"/>
        <w:gridCol w:w="1187"/>
      </w:tblGrid>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782" w:hRule="atLeast"/>
          <w:jc w:val="center"/>
        </w:trPr>
        <w:tc>
          <w:tcPr>
            <w:tcW w:w="1180" w:type="dxa"/>
            <w:vAlign w:val="center"/>
          </w:tcPr>
          <w:p>
            <w:pPr>
              <w:pStyle w:val="69"/>
              <w:jc w:val="center"/>
              <w:rPr>
                <w:rFonts w:ascii="Times New Roman" w:hAnsi="Times New Roman"/>
                <w:szCs w:val="21"/>
              </w:rPr>
            </w:pPr>
            <w:r>
              <w:rPr>
                <w:rFonts w:ascii="Times New Roman" w:hAnsi="宋体"/>
                <w:szCs w:val="21"/>
              </w:rPr>
              <w:t>类别</w:t>
            </w:r>
          </w:p>
        </w:tc>
        <w:tc>
          <w:tcPr>
            <w:tcW w:w="962" w:type="dxa"/>
            <w:vAlign w:val="center"/>
          </w:tcPr>
          <w:p>
            <w:pPr>
              <w:pStyle w:val="69"/>
              <w:jc w:val="center"/>
              <w:rPr>
                <w:rFonts w:ascii="Times New Roman" w:hAnsi="Times New Roman"/>
                <w:szCs w:val="21"/>
              </w:rPr>
            </w:pPr>
            <w:r>
              <w:rPr>
                <w:rFonts w:ascii="Times New Roman" w:hAnsi="宋体"/>
                <w:szCs w:val="21"/>
              </w:rPr>
              <w:t>序</w:t>
            </w:r>
            <w:r>
              <w:rPr>
                <w:rFonts w:ascii="Times New Roman" w:hAnsi="Times New Roman"/>
                <w:szCs w:val="21"/>
              </w:rPr>
              <w:t xml:space="preserve"> </w:t>
            </w:r>
            <w:r>
              <w:rPr>
                <w:rFonts w:ascii="Times New Roman" w:hAnsi="宋体"/>
                <w:szCs w:val="21"/>
              </w:rPr>
              <w:t>号</w:t>
            </w:r>
          </w:p>
        </w:tc>
        <w:tc>
          <w:tcPr>
            <w:tcW w:w="1654" w:type="dxa"/>
            <w:vAlign w:val="center"/>
          </w:tcPr>
          <w:p>
            <w:pPr>
              <w:pStyle w:val="69"/>
              <w:jc w:val="center"/>
              <w:rPr>
                <w:rFonts w:ascii="Times New Roman" w:hAnsi="Times New Roman"/>
                <w:szCs w:val="21"/>
              </w:rPr>
            </w:pPr>
            <w:r>
              <w:rPr>
                <w:rFonts w:ascii="Times New Roman" w:hAnsi="宋体"/>
                <w:szCs w:val="21"/>
              </w:rPr>
              <w:t>内</w:t>
            </w:r>
            <w:r>
              <w:rPr>
                <w:rFonts w:ascii="Times New Roman" w:hAnsi="Times New Roman"/>
                <w:szCs w:val="21"/>
              </w:rPr>
              <w:t xml:space="preserve"> </w:t>
            </w:r>
            <w:r>
              <w:rPr>
                <w:rFonts w:ascii="Times New Roman" w:hAnsi="宋体"/>
                <w:szCs w:val="21"/>
              </w:rPr>
              <w:t>容</w:t>
            </w:r>
          </w:p>
        </w:tc>
        <w:tc>
          <w:tcPr>
            <w:tcW w:w="1969" w:type="dxa"/>
            <w:vAlign w:val="center"/>
          </w:tcPr>
          <w:p>
            <w:pPr>
              <w:pStyle w:val="69"/>
              <w:jc w:val="center"/>
              <w:rPr>
                <w:rFonts w:ascii="Times New Roman" w:hAnsi="Times New Roman"/>
                <w:szCs w:val="21"/>
              </w:rPr>
            </w:pPr>
            <w:r>
              <w:rPr>
                <w:rFonts w:ascii="Times New Roman" w:hAnsi="宋体"/>
                <w:szCs w:val="21"/>
              </w:rPr>
              <w:t>招标文件</w:t>
            </w:r>
          </w:p>
          <w:p>
            <w:pPr>
              <w:pStyle w:val="69"/>
              <w:jc w:val="center"/>
              <w:rPr>
                <w:rFonts w:ascii="Times New Roman" w:hAnsi="Times New Roman"/>
                <w:szCs w:val="21"/>
              </w:rPr>
            </w:pPr>
            <w:r>
              <w:rPr>
                <w:rFonts w:ascii="Times New Roman" w:hAnsi="宋体"/>
                <w:szCs w:val="21"/>
              </w:rPr>
              <w:t>规范要求</w:t>
            </w:r>
          </w:p>
        </w:tc>
        <w:tc>
          <w:tcPr>
            <w:tcW w:w="2111" w:type="dxa"/>
            <w:vAlign w:val="center"/>
          </w:tcPr>
          <w:p>
            <w:pPr>
              <w:pStyle w:val="69"/>
              <w:jc w:val="center"/>
              <w:rPr>
                <w:rFonts w:ascii="Times New Roman" w:hAnsi="Times New Roman"/>
                <w:szCs w:val="21"/>
              </w:rPr>
            </w:pPr>
            <w:r>
              <w:rPr>
                <w:rFonts w:ascii="Times New Roman" w:hAnsi="宋体"/>
                <w:szCs w:val="21"/>
              </w:rPr>
              <w:t>投标文件</w:t>
            </w:r>
          </w:p>
          <w:p>
            <w:pPr>
              <w:pStyle w:val="69"/>
              <w:jc w:val="center"/>
              <w:rPr>
                <w:rFonts w:ascii="Times New Roman" w:hAnsi="Times New Roman"/>
                <w:szCs w:val="21"/>
              </w:rPr>
            </w:pPr>
            <w:r>
              <w:rPr>
                <w:rFonts w:ascii="Times New Roman" w:hAnsi="宋体"/>
                <w:szCs w:val="21"/>
              </w:rPr>
              <w:t>对应内容</w:t>
            </w:r>
          </w:p>
        </w:tc>
        <w:tc>
          <w:tcPr>
            <w:tcW w:w="1187" w:type="dxa"/>
            <w:vAlign w:val="center"/>
          </w:tcPr>
          <w:p>
            <w:pPr>
              <w:pStyle w:val="69"/>
              <w:jc w:val="center"/>
              <w:rPr>
                <w:rFonts w:ascii="Times New Roman" w:hAnsi="Times New Roman"/>
                <w:szCs w:val="21"/>
              </w:rPr>
            </w:pPr>
            <w:r>
              <w:rPr>
                <w:rFonts w:ascii="Times New Roman" w:hAnsi="宋体"/>
                <w:szCs w:val="21"/>
              </w:rPr>
              <w:t>备</w:t>
            </w:r>
            <w:r>
              <w:rPr>
                <w:rFonts w:ascii="Times New Roman" w:hAnsi="Times New Roman"/>
                <w:szCs w:val="21"/>
              </w:rPr>
              <w:t xml:space="preserve"> </w:t>
            </w:r>
            <w:r>
              <w:rPr>
                <w:rFonts w:ascii="Times New Roman" w:hAnsi="宋体"/>
                <w:szCs w:val="21"/>
              </w:rPr>
              <w:t>注</w:t>
            </w: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1180" w:type="dxa"/>
            <w:vMerge w:val="restart"/>
            <w:vAlign w:val="center"/>
          </w:tcPr>
          <w:p>
            <w:pPr>
              <w:pStyle w:val="69"/>
              <w:jc w:val="center"/>
              <w:rPr>
                <w:rFonts w:ascii="Times New Roman" w:hAnsi="Times New Roman"/>
                <w:szCs w:val="21"/>
              </w:rPr>
            </w:pPr>
            <w:r>
              <w:rPr>
                <w:rFonts w:ascii="Times New Roman" w:hAnsi="宋体"/>
                <w:szCs w:val="21"/>
              </w:rPr>
              <w:t>商</w:t>
            </w:r>
          </w:p>
          <w:p>
            <w:pPr>
              <w:pStyle w:val="69"/>
              <w:jc w:val="center"/>
              <w:rPr>
                <w:rFonts w:ascii="Times New Roman" w:hAnsi="Times New Roman"/>
                <w:szCs w:val="21"/>
              </w:rPr>
            </w:pPr>
            <w:r>
              <w:rPr>
                <w:rFonts w:ascii="Times New Roman" w:hAnsi="宋体"/>
                <w:szCs w:val="21"/>
              </w:rPr>
              <w:t>务</w:t>
            </w:r>
          </w:p>
          <w:p>
            <w:pPr>
              <w:pStyle w:val="69"/>
              <w:jc w:val="center"/>
              <w:rPr>
                <w:rFonts w:ascii="Times New Roman" w:hAnsi="Times New Roman"/>
                <w:szCs w:val="21"/>
              </w:rPr>
            </w:pPr>
            <w:r>
              <w:rPr>
                <w:rFonts w:ascii="Times New Roman" w:hAnsi="宋体"/>
                <w:szCs w:val="21"/>
              </w:rPr>
              <w:t>偏</w:t>
            </w:r>
          </w:p>
          <w:p>
            <w:pPr>
              <w:pStyle w:val="69"/>
              <w:jc w:val="center"/>
              <w:rPr>
                <w:rFonts w:ascii="Times New Roman" w:hAnsi="Times New Roman"/>
                <w:szCs w:val="21"/>
              </w:rPr>
            </w:pPr>
            <w:r>
              <w:rPr>
                <w:rFonts w:ascii="Times New Roman" w:hAnsi="宋体"/>
                <w:szCs w:val="21"/>
              </w:rPr>
              <w:t>离</w:t>
            </w:r>
          </w:p>
        </w:tc>
        <w:tc>
          <w:tcPr>
            <w:tcW w:w="962" w:type="dxa"/>
          </w:tcPr>
          <w:p>
            <w:pPr>
              <w:pStyle w:val="69"/>
              <w:jc w:val="center"/>
              <w:rPr>
                <w:rFonts w:ascii="Times New Roman" w:hAnsi="Times New Roman"/>
                <w:szCs w:val="21"/>
              </w:rPr>
            </w:pPr>
          </w:p>
        </w:tc>
        <w:tc>
          <w:tcPr>
            <w:tcW w:w="1654" w:type="dxa"/>
          </w:tcPr>
          <w:p>
            <w:pPr>
              <w:pStyle w:val="69"/>
              <w:jc w:val="center"/>
              <w:rPr>
                <w:rFonts w:ascii="Times New Roman" w:hAnsi="Times New Roman"/>
                <w:szCs w:val="21"/>
              </w:rPr>
            </w:pPr>
          </w:p>
        </w:tc>
        <w:tc>
          <w:tcPr>
            <w:tcW w:w="1969" w:type="dxa"/>
          </w:tcPr>
          <w:p>
            <w:pPr>
              <w:pStyle w:val="69"/>
              <w:jc w:val="center"/>
              <w:rPr>
                <w:rFonts w:ascii="Times New Roman" w:hAnsi="Times New Roman"/>
                <w:szCs w:val="21"/>
              </w:rPr>
            </w:pPr>
          </w:p>
        </w:tc>
        <w:tc>
          <w:tcPr>
            <w:tcW w:w="2111" w:type="dxa"/>
          </w:tcPr>
          <w:p>
            <w:pPr>
              <w:pStyle w:val="69"/>
              <w:jc w:val="center"/>
              <w:rPr>
                <w:rFonts w:ascii="Times New Roman" w:hAnsi="Times New Roman"/>
                <w:szCs w:val="21"/>
              </w:rPr>
            </w:pPr>
          </w:p>
        </w:tc>
        <w:tc>
          <w:tcPr>
            <w:tcW w:w="1187" w:type="dxa"/>
          </w:tcPr>
          <w:p>
            <w:pPr>
              <w:pStyle w:val="69"/>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1180" w:type="dxa"/>
            <w:vMerge w:val="continue"/>
          </w:tcPr>
          <w:p>
            <w:pPr>
              <w:pStyle w:val="69"/>
              <w:jc w:val="center"/>
              <w:rPr>
                <w:rFonts w:ascii="Times New Roman" w:hAnsi="Times New Roman"/>
                <w:szCs w:val="21"/>
              </w:rPr>
            </w:pPr>
          </w:p>
        </w:tc>
        <w:tc>
          <w:tcPr>
            <w:tcW w:w="962" w:type="dxa"/>
          </w:tcPr>
          <w:p>
            <w:pPr>
              <w:pStyle w:val="69"/>
              <w:jc w:val="center"/>
              <w:rPr>
                <w:rFonts w:ascii="Times New Roman" w:hAnsi="Times New Roman"/>
                <w:szCs w:val="21"/>
              </w:rPr>
            </w:pPr>
          </w:p>
        </w:tc>
        <w:tc>
          <w:tcPr>
            <w:tcW w:w="1654" w:type="dxa"/>
          </w:tcPr>
          <w:p>
            <w:pPr>
              <w:pStyle w:val="69"/>
              <w:jc w:val="center"/>
              <w:rPr>
                <w:rFonts w:ascii="Times New Roman" w:hAnsi="Times New Roman"/>
                <w:szCs w:val="21"/>
              </w:rPr>
            </w:pPr>
          </w:p>
        </w:tc>
        <w:tc>
          <w:tcPr>
            <w:tcW w:w="1969" w:type="dxa"/>
          </w:tcPr>
          <w:p>
            <w:pPr>
              <w:pStyle w:val="69"/>
              <w:jc w:val="center"/>
              <w:rPr>
                <w:rFonts w:ascii="Times New Roman" w:hAnsi="Times New Roman"/>
                <w:szCs w:val="21"/>
              </w:rPr>
            </w:pPr>
          </w:p>
        </w:tc>
        <w:tc>
          <w:tcPr>
            <w:tcW w:w="2111" w:type="dxa"/>
          </w:tcPr>
          <w:p>
            <w:pPr>
              <w:pStyle w:val="69"/>
              <w:jc w:val="center"/>
              <w:rPr>
                <w:rFonts w:ascii="Times New Roman" w:hAnsi="Times New Roman"/>
                <w:szCs w:val="21"/>
              </w:rPr>
            </w:pPr>
          </w:p>
        </w:tc>
        <w:tc>
          <w:tcPr>
            <w:tcW w:w="1187" w:type="dxa"/>
          </w:tcPr>
          <w:p>
            <w:pPr>
              <w:pStyle w:val="69"/>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1180" w:type="dxa"/>
            <w:vMerge w:val="continue"/>
          </w:tcPr>
          <w:p>
            <w:pPr>
              <w:pStyle w:val="69"/>
              <w:jc w:val="center"/>
              <w:rPr>
                <w:rFonts w:ascii="Times New Roman" w:hAnsi="Times New Roman"/>
                <w:szCs w:val="21"/>
              </w:rPr>
            </w:pPr>
          </w:p>
        </w:tc>
        <w:tc>
          <w:tcPr>
            <w:tcW w:w="962" w:type="dxa"/>
          </w:tcPr>
          <w:p>
            <w:pPr>
              <w:pStyle w:val="69"/>
              <w:jc w:val="center"/>
              <w:rPr>
                <w:rFonts w:ascii="Times New Roman" w:hAnsi="Times New Roman"/>
                <w:szCs w:val="21"/>
              </w:rPr>
            </w:pPr>
          </w:p>
        </w:tc>
        <w:tc>
          <w:tcPr>
            <w:tcW w:w="1654" w:type="dxa"/>
          </w:tcPr>
          <w:p>
            <w:pPr>
              <w:pStyle w:val="69"/>
              <w:jc w:val="center"/>
              <w:rPr>
                <w:rFonts w:ascii="Times New Roman" w:hAnsi="Times New Roman"/>
                <w:szCs w:val="21"/>
              </w:rPr>
            </w:pPr>
          </w:p>
        </w:tc>
        <w:tc>
          <w:tcPr>
            <w:tcW w:w="1969" w:type="dxa"/>
          </w:tcPr>
          <w:p>
            <w:pPr>
              <w:pStyle w:val="69"/>
              <w:jc w:val="center"/>
              <w:rPr>
                <w:rFonts w:ascii="Times New Roman" w:hAnsi="Times New Roman"/>
                <w:szCs w:val="21"/>
              </w:rPr>
            </w:pPr>
          </w:p>
        </w:tc>
        <w:tc>
          <w:tcPr>
            <w:tcW w:w="2111" w:type="dxa"/>
          </w:tcPr>
          <w:p>
            <w:pPr>
              <w:pStyle w:val="69"/>
              <w:jc w:val="center"/>
              <w:rPr>
                <w:rFonts w:ascii="Times New Roman" w:hAnsi="Times New Roman"/>
                <w:szCs w:val="21"/>
              </w:rPr>
            </w:pPr>
          </w:p>
        </w:tc>
        <w:tc>
          <w:tcPr>
            <w:tcW w:w="1187" w:type="dxa"/>
          </w:tcPr>
          <w:p>
            <w:pPr>
              <w:pStyle w:val="69"/>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1180" w:type="dxa"/>
            <w:vMerge w:val="continue"/>
          </w:tcPr>
          <w:p>
            <w:pPr>
              <w:pStyle w:val="69"/>
              <w:jc w:val="center"/>
              <w:rPr>
                <w:rFonts w:ascii="Times New Roman" w:hAnsi="Times New Roman"/>
                <w:szCs w:val="21"/>
              </w:rPr>
            </w:pPr>
          </w:p>
        </w:tc>
        <w:tc>
          <w:tcPr>
            <w:tcW w:w="962" w:type="dxa"/>
          </w:tcPr>
          <w:p>
            <w:pPr>
              <w:pStyle w:val="69"/>
              <w:jc w:val="center"/>
              <w:rPr>
                <w:rFonts w:ascii="Times New Roman" w:hAnsi="Times New Roman"/>
                <w:szCs w:val="21"/>
              </w:rPr>
            </w:pPr>
          </w:p>
        </w:tc>
        <w:tc>
          <w:tcPr>
            <w:tcW w:w="1654" w:type="dxa"/>
          </w:tcPr>
          <w:p>
            <w:pPr>
              <w:pStyle w:val="69"/>
              <w:jc w:val="center"/>
              <w:rPr>
                <w:rFonts w:ascii="Times New Roman" w:hAnsi="Times New Roman"/>
                <w:szCs w:val="21"/>
              </w:rPr>
            </w:pPr>
          </w:p>
        </w:tc>
        <w:tc>
          <w:tcPr>
            <w:tcW w:w="1969" w:type="dxa"/>
          </w:tcPr>
          <w:p>
            <w:pPr>
              <w:pStyle w:val="69"/>
              <w:jc w:val="center"/>
              <w:rPr>
                <w:rFonts w:ascii="Times New Roman" w:hAnsi="Times New Roman"/>
                <w:szCs w:val="21"/>
              </w:rPr>
            </w:pPr>
          </w:p>
        </w:tc>
        <w:tc>
          <w:tcPr>
            <w:tcW w:w="2111" w:type="dxa"/>
          </w:tcPr>
          <w:p>
            <w:pPr>
              <w:pStyle w:val="69"/>
              <w:jc w:val="center"/>
              <w:rPr>
                <w:rFonts w:ascii="Times New Roman" w:hAnsi="Times New Roman"/>
                <w:szCs w:val="21"/>
              </w:rPr>
            </w:pPr>
          </w:p>
        </w:tc>
        <w:tc>
          <w:tcPr>
            <w:tcW w:w="1187" w:type="dxa"/>
          </w:tcPr>
          <w:p>
            <w:pPr>
              <w:pStyle w:val="69"/>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PrEx>
        <w:trPr>
          <w:cantSplit/>
          <w:trHeight w:val="510" w:hRule="atLeast"/>
          <w:jc w:val="center"/>
        </w:trPr>
        <w:tc>
          <w:tcPr>
            <w:tcW w:w="1180" w:type="dxa"/>
            <w:vMerge w:val="continue"/>
          </w:tcPr>
          <w:p>
            <w:pPr>
              <w:pStyle w:val="69"/>
              <w:jc w:val="center"/>
              <w:rPr>
                <w:rFonts w:ascii="Times New Roman" w:hAnsi="Times New Roman"/>
                <w:szCs w:val="21"/>
              </w:rPr>
            </w:pPr>
          </w:p>
        </w:tc>
        <w:tc>
          <w:tcPr>
            <w:tcW w:w="962" w:type="dxa"/>
          </w:tcPr>
          <w:p>
            <w:pPr>
              <w:pStyle w:val="69"/>
              <w:jc w:val="center"/>
              <w:rPr>
                <w:rFonts w:ascii="Times New Roman" w:hAnsi="Times New Roman"/>
                <w:szCs w:val="21"/>
              </w:rPr>
            </w:pPr>
          </w:p>
        </w:tc>
        <w:tc>
          <w:tcPr>
            <w:tcW w:w="1654" w:type="dxa"/>
          </w:tcPr>
          <w:p>
            <w:pPr>
              <w:pStyle w:val="69"/>
              <w:jc w:val="center"/>
              <w:rPr>
                <w:rFonts w:ascii="Times New Roman" w:hAnsi="Times New Roman"/>
                <w:szCs w:val="21"/>
              </w:rPr>
            </w:pPr>
          </w:p>
        </w:tc>
        <w:tc>
          <w:tcPr>
            <w:tcW w:w="1969" w:type="dxa"/>
          </w:tcPr>
          <w:p>
            <w:pPr>
              <w:pStyle w:val="69"/>
              <w:jc w:val="center"/>
              <w:rPr>
                <w:rFonts w:ascii="Times New Roman" w:hAnsi="Times New Roman"/>
                <w:szCs w:val="21"/>
              </w:rPr>
            </w:pPr>
          </w:p>
        </w:tc>
        <w:tc>
          <w:tcPr>
            <w:tcW w:w="2111" w:type="dxa"/>
          </w:tcPr>
          <w:p>
            <w:pPr>
              <w:pStyle w:val="69"/>
              <w:jc w:val="center"/>
              <w:rPr>
                <w:rFonts w:ascii="Times New Roman" w:hAnsi="Times New Roman"/>
                <w:szCs w:val="21"/>
              </w:rPr>
            </w:pPr>
          </w:p>
        </w:tc>
        <w:tc>
          <w:tcPr>
            <w:tcW w:w="1187" w:type="dxa"/>
          </w:tcPr>
          <w:p>
            <w:pPr>
              <w:pStyle w:val="69"/>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1180" w:type="dxa"/>
            <w:vMerge w:val="continue"/>
          </w:tcPr>
          <w:p>
            <w:pPr>
              <w:pStyle w:val="69"/>
              <w:jc w:val="center"/>
              <w:rPr>
                <w:rFonts w:ascii="Times New Roman" w:hAnsi="Times New Roman"/>
                <w:szCs w:val="21"/>
              </w:rPr>
            </w:pPr>
          </w:p>
        </w:tc>
        <w:tc>
          <w:tcPr>
            <w:tcW w:w="962" w:type="dxa"/>
          </w:tcPr>
          <w:p>
            <w:pPr>
              <w:pStyle w:val="69"/>
              <w:jc w:val="center"/>
              <w:rPr>
                <w:rFonts w:ascii="Times New Roman" w:hAnsi="Times New Roman"/>
                <w:szCs w:val="21"/>
              </w:rPr>
            </w:pPr>
          </w:p>
        </w:tc>
        <w:tc>
          <w:tcPr>
            <w:tcW w:w="1654" w:type="dxa"/>
          </w:tcPr>
          <w:p>
            <w:pPr>
              <w:pStyle w:val="69"/>
              <w:jc w:val="center"/>
              <w:rPr>
                <w:rFonts w:ascii="Times New Roman" w:hAnsi="Times New Roman"/>
                <w:szCs w:val="21"/>
              </w:rPr>
            </w:pPr>
          </w:p>
        </w:tc>
        <w:tc>
          <w:tcPr>
            <w:tcW w:w="1969" w:type="dxa"/>
          </w:tcPr>
          <w:p>
            <w:pPr>
              <w:pStyle w:val="69"/>
              <w:jc w:val="center"/>
              <w:rPr>
                <w:rFonts w:ascii="Times New Roman" w:hAnsi="Times New Roman"/>
                <w:szCs w:val="21"/>
              </w:rPr>
            </w:pPr>
          </w:p>
        </w:tc>
        <w:tc>
          <w:tcPr>
            <w:tcW w:w="2111" w:type="dxa"/>
          </w:tcPr>
          <w:p>
            <w:pPr>
              <w:pStyle w:val="69"/>
              <w:jc w:val="center"/>
              <w:rPr>
                <w:rFonts w:ascii="Times New Roman" w:hAnsi="Times New Roman"/>
                <w:szCs w:val="21"/>
              </w:rPr>
            </w:pPr>
          </w:p>
        </w:tc>
        <w:tc>
          <w:tcPr>
            <w:tcW w:w="1187" w:type="dxa"/>
          </w:tcPr>
          <w:p>
            <w:pPr>
              <w:pStyle w:val="69"/>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1180" w:type="dxa"/>
            <w:vMerge w:val="continue"/>
          </w:tcPr>
          <w:p>
            <w:pPr>
              <w:pStyle w:val="69"/>
              <w:jc w:val="center"/>
              <w:rPr>
                <w:rFonts w:ascii="Times New Roman" w:hAnsi="Times New Roman"/>
                <w:szCs w:val="21"/>
              </w:rPr>
            </w:pPr>
          </w:p>
        </w:tc>
        <w:tc>
          <w:tcPr>
            <w:tcW w:w="962" w:type="dxa"/>
          </w:tcPr>
          <w:p>
            <w:pPr>
              <w:pStyle w:val="69"/>
              <w:jc w:val="center"/>
              <w:rPr>
                <w:rFonts w:ascii="Times New Roman" w:hAnsi="Times New Roman"/>
                <w:szCs w:val="21"/>
              </w:rPr>
            </w:pPr>
          </w:p>
        </w:tc>
        <w:tc>
          <w:tcPr>
            <w:tcW w:w="1654" w:type="dxa"/>
          </w:tcPr>
          <w:p>
            <w:pPr>
              <w:pStyle w:val="69"/>
              <w:jc w:val="center"/>
              <w:rPr>
                <w:rFonts w:ascii="Times New Roman" w:hAnsi="Times New Roman"/>
                <w:szCs w:val="21"/>
              </w:rPr>
            </w:pPr>
          </w:p>
        </w:tc>
        <w:tc>
          <w:tcPr>
            <w:tcW w:w="1969" w:type="dxa"/>
          </w:tcPr>
          <w:p>
            <w:pPr>
              <w:pStyle w:val="69"/>
              <w:jc w:val="center"/>
              <w:rPr>
                <w:rFonts w:ascii="Times New Roman" w:hAnsi="Times New Roman"/>
                <w:szCs w:val="21"/>
              </w:rPr>
            </w:pPr>
          </w:p>
        </w:tc>
        <w:tc>
          <w:tcPr>
            <w:tcW w:w="2111" w:type="dxa"/>
          </w:tcPr>
          <w:p>
            <w:pPr>
              <w:pStyle w:val="69"/>
              <w:jc w:val="center"/>
              <w:rPr>
                <w:rFonts w:ascii="Times New Roman" w:hAnsi="Times New Roman"/>
                <w:szCs w:val="21"/>
              </w:rPr>
            </w:pPr>
          </w:p>
        </w:tc>
        <w:tc>
          <w:tcPr>
            <w:tcW w:w="1187" w:type="dxa"/>
          </w:tcPr>
          <w:p>
            <w:pPr>
              <w:pStyle w:val="69"/>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1180" w:type="dxa"/>
            <w:vMerge w:val="continue"/>
          </w:tcPr>
          <w:p>
            <w:pPr>
              <w:pStyle w:val="69"/>
              <w:jc w:val="center"/>
              <w:rPr>
                <w:rFonts w:ascii="Times New Roman" w:hAnsi="Times New Roman"/>
                <w:szCs w:val="21"/>
              </w:rPr>
            </w:pPr>
          </w:p>
        </w:tc>
        <w:tc>
          <w:tcPr>
            <w:tcW w:w="962" w:type="dxa"/>
          </w:tcPr>
          <w:p>
            <w:pPr>
              <w:pStyle w:val="69"/>
              <w:jc w:val="center"/>
              <w:rPr>
                <w:rFonts w:ascii="Times New Roman" w:hAnsi="Times New Roman"/>
                <w:szCs w:val="21"/>
              </w:rPr>
            </w:pPr>
          </w:p>
        </w:tc>
        <w:tc>
          <w:tcPr>
            <w:tcW w:w="1654" w:type="dxa"/>
          </w:tcPr>
          <w:p>
            <w:pPr>
              <w:pStyle w:val="69"/>
              <w:jc w:val="center"/>
              <w:rPr>
                <w:rFonts w:ascii="Times New Roman" w:hAnsi="Times New Roman"/>
                <w:szCs w:val="21"/>
              </w:rPr>
            </w:pPr>
          </w:p>
        </w:tc>
        <w:tc>
          <w:tcPr>
            <w:tcW w:w="1969" w:type="dxa"/>
          </w:tcPr>
          <w:p>
            <w:pPr>
              <w:pStyle w:val="69"/>
              <w:jc w:val="center"/>
              <w:rPr>
                <w:rFonts w:ascii="Times New Roman" w:hAnsi="Times New Roman"/>
                <w:szCs w:val="21"/>
              </w:rPr>
            </w:pPr>
          </w:p>
        </w:tc>
        <w:tc>
          <w:tcPr>
            <w:tcW w:w="2111" w:type="dxa"/>
          </w:tcPr>
          <w:p>
            <w:pPr>
              <w:pStyle w:val="69"/>
              <w:jc w:val="center"/>
              <w:rPr>
                <w:rFonts w:ascii="Times New Roman" w:hAnsi="Times New Roman"/>
                <w:szCs w:val="21"/>
              </w:rPr>
            </w:pPr>
          </w:p>
        </w:tc>
        <w:tc>
          <w:tcPr>
            <w:tcW w:w="1187" w:type="dxa"/>
          </w:tcPr>
          <w:p>
            <w:pPr>
              <w:pStyle w:val="69"/>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1180" w:type="dxa"/>
            <w:vMerge w:val="continue"/>
          </w:tcPr>
          <w:p>
            <w:pPr>
              <w:pStyle w:val="69"/>
              <w:jc w:val="center"/>
              <w:rPr>
                <w:rFonts w:ascii="Times New Roman" w:hAnsi="Times New Roman"/>
                <w:szCs w:val="21"/>
              </w:rPr>
            </w:pPr>
          </w:p>
        </w:tc>
        <w:tc>
          <w:tcPr>
            <w:tcW w:w="962" w:type="dxa"/>
          </w:tcPr>
          <w:p>
            <w:pPr>
              <w:pStyle w:val="69"/>
              <w:jc w:val="center"/>
              <w:rPr>
                <w:rFonts w:ascii="Times New Roman" w:hAnsi="Times New Roman"/>
                <w:szCs w:val="21"/>
              </w:rPr>
            </w:pPr>
          </w:p>
        </w:tc>
        <w:tc>
          <w:tcPr>
            <w:tcW w:w="1654" w:type="dxa"/>
          </w:tcPr>
          <w:p>
            <w:pPr>
              <w:pStyle w:val="69"/>
              <w:jc w:val="center"/>
              <w:rPr>
                <w:rFonts w:ascii="Times New Roman" w:hAnsi="Times New Roman"/>
                <w:szCs w:val="21"/>
              </w:rPr>
            </w:pPr>
          </w:p>
        </w:tc>
        <w:tc>
          <w:tcPr>
            <w:tcW w:w="1969" w:type="dxa"/>
          </w:tcPr>
          <w:p>
            <w:pPr>
              <w:pStyle w:val="69"/>
              <w:jc w:val="center"/>
              <w:rPr>
                <w:rFonts w:ascii="Times New Roman" w:hAnsi="Times New Roman"/>
                <w:szCs w:val="21"/>
              </w:rPr>
            </w:pPr>
          </w:p>
        </w:tc>
        <w:tc>
          <w:tcPr>
            <w:tcW w:w="2111" w:type="dxa"/>
          </w:tcPr>
          <w:p>
            <w:pPr>
              <w:pStyle w:val="69"/>
              <w:jc w:val="center"/>
              <w:rPr>
                <w:rFonts w:ascii="Times New Roman" w:hAnsi="Times New Roman"/>
                <w:szCs w:val="21"/>
              </w:rPr>
            </w:pPr>
          </w:p>
        </w:tc>
        <w:tc>
          <w:tcPr>
            <w:tcW w:w="1187" w:type="dxa"/>
          </w:tcPr>
          <w:p>
            <w:pPr>
              <w:pStyle w:val="69"/>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1180" w:type="dxa"/>
            <w:vMerge w:val="continue"/>
            <w:vAlign w:val="center"/>
          </w:tcPr>
          <w:p>
            <w:pPr>
              <w:pStyle w:val="69"/>
              <w:jc w:val="center"/>
              <w:rPr>
                <w:rFonts w:ascii="Times New Roman" w:hAnsi="Times New Roman"/>
                <w:szCs w:val="21"/>
              </w:rPr>
            </w:pPr>
          </w:p>
        </w:tc>
        <w:tc>
          <w:tcPr>
            <w:tcW w:w="962" w:type="dxa"/>
          </w:tcPr>
          <w:p>
            <w:pPr>
              <w:pStyle w:val="69"/>
              <w:jc w:val="center"/>
              <w:rPr>
                <w:rFonts w:ascii="Times New Roman" w:hAnsi="Times New Roman"/>
                <w:szCs w:val="21"/>
              </w:rPr>
            </w:pPr>
          </w:p>
        </w:tc>
        <w:tc>
          <w:tcPr>
            <w:tcW w:w="1654" w:type="dxa"/>
          </w:tcPr>
          <w:p>
            <w:pPr>
              <w:pStyle w:val="69"/>
              <w:jc w:val="center"/>
              <w:rPr>
                <w:rFonts w:ascii="Times New Roman" w:hAnsi="Times New Roman"/>
                <w:szCs w:val="21"/>
              </w:rPr>
            </w:pPr>
          </w:p>
        </w:tc>
        <w:tc>
          <w:tcPr>
            <w:tcW w:w="1969" w:type="dxa"/>
          </w:tcPr>
          <w:p>
            <w:pPr>
              <w:pStyle w:val="69"/>
              <w:jc w:val="center"/>
              <w:rPr>
                <w:rFonts w:ascii="Times New Roman" w:hAnsi="Times New Roman"/>
                <w:szCs w:val="21"/>
              </w:rPr>
            </w:pPr>
          </w:p>
        </w:tc>
        <w:tc>
          <w:tcPr>
            <w:tcW w:w="2111" w:type="dxa"/>
          </w:tcPr>
          <w:p>
            <w:pPr>
              <w:pStyle w:val="69"/>
              <w:jc w:val="center"/>
              <w:rPr>
                <w:rFonts w:ascii="Times New Roman" w:hAnsi="Times New Roman"/>
                <w:szCs w:val="21"/>
              </w:rPr>
            </w:pPr>
          </w:p>
        </w:tc>
        <w:tc>
          <w:tcPr>
            <w:tcW w:w="1187" w:type="dxa"/>
          </w:tcPr>
          <w:p>
            <w:pPr>
              <w:pStyle w:val="69"/>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PrEx>
        <w:trPr>
          <w:cantSplit/>
          <w:trHeight w:val="510" w:hRule="atLeast"/>
          <w:jc w:val="center"/>
        </w:trPr>
        <w:tc>
          <w:tcPr>
            <w:tcW w:w="1180" w:type="dxa"/>
            <w:vMerge w:val="continue"/>
          </w:tcPr>
          <w:p>
            <w:pPr>
              <w:pStyle w:val="69"/>
              <w:jc w:val="center"/>
              <w:rPr>
                <w:rFonts w:ascii="Times New Roman" w:hAnsi="Times New Roman"/>
                <w:szCs w:val="21"/>
              </w:rPr>
            </w:pPr>
          </w:p>
        </w:tc>
        <w:tc>
          <w:tcPr>
            <w:tcW w:w="962" w:type="dxa"/>
          </w:tcPr>
          <w:p>
            <w:pPr>
              <w:pStyle w:val="69"/>
              <w:jc w:val="center"/>
              <w:rPr>
                <w:rFonts w:ascii="Times New Roman" w:hAnsi="Times New Roman"/>
                <w:szCs w:val="21"/>
              </w:rPr>
            </w:pPr>
          </w:p>
        </w:tc>
        <w:tc>
          <w:tcPr>
            <w:tcW w:w="1654" w:type="dxa"/>
          </w:tcPr>
          <w:p>
            <w:pPr>
              <w:pStyle w:val="69"/>
              <w:jc w:val="center"/>
              <w:rPr>
                <w:rFonts w:ascii="Times New Roman" w:hAnsi="Times New Roman"/>
                <w:szCs w:val="21"/>
              </w:rPr>
            </w:pPr>
          </w:p>
        </w:tc>
        <w:tc>
          <w:tcPr>
            <w:tcW w:w="1969" w:type="dxa"/>
          </w:tcPr>
          <w:p>
            <w:pPr>
              <w:pStyle w:val="69"/>
              <w:jc w:val="center"/>
              <w:rPr>
                <w:rFonts w:ascii="Times New Roman" w:hAnsi="Times New Roman"/>
                <w:szCs w:val="21"/>
              </w:rPr>
            </w:pPr>
          </w:p>
        </w:tc>
        <w:tc>
          <w:tcPr>
            <w:tcW w:w="2111" w:type="dxa"/>
          </w:tcPr>
          <w:p>
            <w:pPr>
              <w:pStyle w:val="69"/>
              <w:jc w:val="center"/>
              <w:rPr>
                <w:rFonts w:ascii="Times New Roman" w:hAnsi="Times New Roman"/>
                <w:szCs w:val="21"/>
              </w:rPr>
            </w:pPr>
          </w:p>
        </w:tc>
        <w:tc>
          <w:tcPr>
            <w:tcW w:w="1187" w:type="dxa"/>
          </w:tcPr>
          <w:p>
            <w:pPr>
              <w:pStyle w:val="69"/>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1180" w:type="dxa"/>
            <w:vMerge w:val="continue"/>
          </w:tcPr>
          <w:p>
            <w:pPr>
              <w:pStyle w:val="69"/>
              <w:jc w:val="center"/>
              <w:rPr>
                <w:rFonts w:ascii="Times New Roman" w:hAnsi="Times New Roman"/>
                <w:szCs w:val="21"/>
              </w:rPr>
            </w:pPr>
          </w:p>
        </w:tc>
        <w:tc>
          <w:tcPr>
            <w:tcW w:w="962" w:type="dxa"/>
          </w:tcPr>
          <w:p>
            <w:pPr>
              <w:pStyle w:val="69"/>
              <w:jc w:val="center"/>
              <w:rPr>
                <w:rFonts w:ascii="Times New Roman" w:hAnsi="Times New Roman"/>
                <w:szCs w:val="21"/>
              </w:rPr>
            </w:pPr>
          </w:p>
        </w:tc>
        <w:tc>
          <w:tcPr>
            <w:tcW w:w="1654" w:type="dxa"/>
          </w:tcPr>
          <w:p>
            <w:pPr>
              <w:pStyle w:val="69"/>
              <w:jc w:val="center"/>
              <w:rPr>
                <w:rFonts w:ascii="Times New Roman" w:hAnsi="Times New Roman"/>
                <w:szCs w:val="21"/>
              </w:rPr>
            </w:pPr>
          </w:p>
        </w:tc>
        <w:tc>
          <w:tcPr>
            <w:tcW w:w="1969" w:type="dxa"/>
          </w:tcPr>
          <w:p>
            <w:pPr>
              <w:pStyle w:val="69"/>
              <w:jc w:val="center"/>
              <w:rPr>
                <w:rFonts w:ascii="Times New Roman" w:hAnsi="Times New Roman"/>
                <w:szCs w:val="21"/>
              </w:rPr>
            </w:pPr>
          </w:p>
        </w:tc>
        <w:tc>
          <w:tcPr>
            <w:tcW w:w="2111" w:type="dxa"/>
          </w:tcPr>
          <w:p>
            <w:pPr>
              <w:pStyle w:val="69"/>
              <w:jc w:val="center"/>
              <w:rPr>
                <w:rFonts w:ascii="Times New Roman" w:hAnsi="Times New Roman"/>
                <w:szCs w:val="21"/>
              </w:rPr>
            </w:pPr>
          </w:p>
        </w:tc>
        <w:tc>
          <w:tcPr>
            <w:tcW w:w="1187" w:type="dxa"/>
          </w:tcPr>
          <w:p>
            <w:pPr>
              <w:pStyle w:val="69"/>
              <w:jc w:val="center"/>
              <w:rPr>
                <w:rFonts w:ascii="Times New Roman" w:hAnsi="Times New Roman"/>
                <w:szCs w:val="21"/>
              </w:rPr>
            </w:pPr>
          </w:p>
        </w:tc>
      </w:tr>
      <w:tr>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Ex>
        <w:trPr>
          <w:cantSplit/>
          <w:trHeight w:val="510" w:hRule="atLeast"/>
          <w:jc w:val="center"/>
        </w:trPr>
        <w:tc>
          <w:tcPr>
            <w:tcW w:w="1180" w:type="dxa"/>
            <w:vMerge w:val="continue"/>
          </w:tcPr>
          <w:p>
            <w:pPr>
              <w:pStyle w:val="69"/>
              <w:jc w:val="center"/>
              <w:rPr>
                <w:rFonts w:ascii="Times New Roman" w:hAnsi="Times New Roman"/>
                <w:szCs w:val="21"/>
              </w:rPr>
            </w:pPr>
          </w:p>
        </w:tc>
        <w:tc>
          <w:tcPr>
            <w:tcW w:w="962" w:type="dxa"/>
          </w:tcPr>
          <w:p>
            <w:pPr>
              <w:pStyle w:val="69"/>
              <w:jc w:val="center"/>
              <w:rPr>
                <w:rFonts w:ascii="Times New Roman" w:hAnsi="Times New Roman"/>
                <w:szCs w:val="21"/>
              </w:rPr>
            </w:pPr>
          </w:p>
        </w:tc>
        <w:tc>
          <w:tcPr>
            <w:tcW w:w="1654" w:type="dxa"/>
          </w:tcPr>
          <w:p>
            <w:pPr>
              <w:pStyle w:val="69"/>
              <w:jc w:val="center"/>
              <w:rPr>
                <w:rFonts w:ascii="Times New Roman" w:hAnsi="Times New Roman"/>
                <w:szCs w:val="21"/>
              </w:rPr>
            </w:pPr>
          </w:p>
        </w:tc>
        <w:tc>
          <w:tcPr>
            <w:tcW w:w="1969" w:type="dxa"/>
          </w:tcPr>
          <w:p>
            <w:pPr>
              <w:pStyle w:val="69"/>
              <w:jc w:val="center"/>
              <w:rPr>
                <w:rFonts w:ascii="Times New Roman" w:hAnsi="Times New Roman"/>
                <w:szCs w:val="21"/>
              </w:rPr>
            </w:pPr>
          </w:p>
        </w:tc>
        <w:tc>
          <w:tcPr>
            <w:tcW w:w="2111" w:type="dxa"/>
          </w:tcPr>
          <w:p>
            <w:pPr>
              <w:pStyle w:val="69"/>
              <w:jc w:val="center"/>
              <w:rPr>
                <w:rFonts w:ascii="Times New Roman" w:hAnsi="Times New Roman"/>
                <w:szCs w:val="21"/>
              </w:rPr>
            </w:pPr>
          </w:p>
        </w:tc>
        <w:tc>
          <w:tcPr>
            <w:tcW w:w="1187" w:type="dxa"/>
          </w:tcPr>
          <w:p>
            <w:pPr>
              <w:pStyle w:val="69"/>
              <w:jc w:val="center"/>
              <w:rPr>
                <w:rFonts w:ascii="Times New Roman" w:hAnsi="Times New Roman"/>
                <w:szCs w:val="21"/>
              </w:rPr>
            </w:pPr>
          </w:p>
        </w:tc>
      </w:tr>
    </w:tbl>
    <w:p>
      <w:pPr>
        <w:pStyle w:val="69"/>
        <w:spacing w:line="360" w:lineRule="auto"/>
        <w:rPr>
          <w:rFonts w:ascii="Times New Roman" w:hAnsi="Times New Roman"/>
          <w:b/>
          <w:szCs w:val="21"/>
        </w:rPr>
      </w:pPr>
      <w:r>
        <w:rPr>
          <w:rFonts w:ascii="Times New Roman" w:hAnsi="宋体"/>
          <w:b/>
          <w:szCs w:val="21"/>
        </w:rPr>
        <w:t>注：</w:t>
      </w:r>
      <w:r>
        <w:rPr>
          <w:rFonts w:ascii="Times New Roman" w:hAnsi="Times New Roman"/>
          <w:b/>
          <w:szCs w:val="21"/>
        </w:rPr>
        <w:t>1</w:t>
      </w:r>
      <w:r>
        <w:rPr>
          <w:rFonts w:ascii="Times New Roman" w:hAnsi="宋体"/>
          <w:b/>
          <w:szCs w:val="21"/>
        </w:rPr>
        <w:t>、如不填写，则视为完全响应招标文件的商务要求。</w:t>
      </w:r>
    </w:p>
    <w:p>
      <w:pPr>
        <w:pStyle w:val="69"/>
        <w:spacing w:line="360" w:lineRule="auto"/>
        <w:rPr>
          <w:rFonts w:ascii="Times New Roman" w:hAnsi="Times New Roman"/>
          <w:b/>
          <w:szCs w:val="21"/>
          <w:u w:val="thick"/>
        </w:rPr>
      </w:pPr>
    </w:p>
    <w:p>
      <w:pPr>
        <w:pStyle w:val="69"/>
        <w:spacing w:line="360" w:lineRule="auto"/>
        <w:rPr>
          <w:rFonts w:ascii="Times New Roman" w:hAnsi="Times New Roman"/>
          <w:szCs w:val="21"/>
        </w:rPr>
      </w:pPr>
      <w:r>
        <w:rPr>
          <w:rFonts w:ascii="Times New Roman" w:hAnsi="宋体"/>
          <w:szCs w:val="21"/>
        </w:rPr>
        <w:t>投标人（盖章）：</w:t>
      </w:r>
    </w:p>
    <w:p>
      <w:pPr>
        <w:pStyle w:val="69"/>
        <w:spacing w:line="360" w:lineRule="auto"/>
        <w:rPr>
          <w:rFonts w:ascii="Times New Roman" w:hAnsi="Times New Roman"/>
          <w:szCs w:val="21"/>
        </w:rPr>
      </w:pPr>
      <w:r>
        <w:rPr>
          <w:rFonts w:ascii="Times New Roman" w:hAnsi="宋体"/>
          <w:bCs/>
          <w:szCs w:val="21"/>
        </w:rPr>
        <w:t>法定代表人或其授权委托代理人</w:t>
      </w:r>
      <w:r>
        <w:rPr>
          <w:rFonts w:ascii="Times New Roman" w:hAnsi="宋体"/>
          <w:szCs w:val="21"/>
        </w:rPr>
        <w:t>签字：</w:t>
      </w:r>
    </w:p>
    <w:p>
      <w:pPr>
        <w:pStyle w:val="69"/>
        <w:spacing w:line="360" w:lineRule="auto"/>
        <w:rPr>
          <w:rFonts w:ascii="Times New Roman" w:hAnsi="Times New Roman"/>
          <w:szCs w:val="21"/>
        </w:rPr>
      </w:pPr>
      <w:r>
        <w:rPr>
          <w:rFonts w:ascii="Times New Roman" w:hAnsi="宋体"/>
          <w:szCs w:val="21"/>
        </w:rPr>
        <w:t>日期：</w:t>
      </w:r>
    </w:p>
    <w:p>
      <w:pPr>
        <w:tabs>
          <w:tab w:val="left" w:pos="482"/>
          <w:tab w:val="left" w:pos="2183"/>
          <w:tab w:val="left" w:pos="3884"/>
          <w:tab w:val="left" w:pos="5585"/>
        </w:tabs>
        <w:spacing w:line="400" w:lineRule="exact"/>
        <w:ind w:firstLine="5117" w:firstLineChars="2225"/>
        <w:rPr>
          <w:sz w:val="23"/>
          <w:szCs w:val="23"/>
        </w:rPr>
      </w:pPr>
    </w:p>
    <w:p>
      <w:pPr>
        <w:pStyle w:val="6"/>
        <w:rPr>
          <w:sz w:val="52"/>
        </w:rPr>
      </w:pPr>
    </w:p>
    <w:p>
      <w:pPr>
        <w:tabs>
          <w:tab w:val="left" w:pos="482"/>
          <w:tab w:val="left" w:pos="2183"/>
          <w:tab w:val="left" w:pos="3884"/>
          <w:tab w:val="left" w:pos="5585"/>
        </w:tabs>
        <w:snapToGrid w:val="0"/>
        <w:spacing w:line="360" w:lineRule="exact"/>
        <w:jc w:val="center"/>
        <w:rPr>
          <w:b/>
          <w:sz w:val="30"/>
          <w:szCs w:val="30"/>
        </w:rPr>
      </w:pPr>
      <w:r>
        <w:rPr>
          <w:sz w:val="52"/>
        </w:rPr>
        <w:br w:type="page"/>
      </w:r>
      <w:r>
        <w:rPr>
          <w:rFonts w:hAnsi="宋体"/>
          <w:b/>
          <w:sz w:val="28"/>
          <w:szCs w:val="28"/>
        </w:rPr>
        <w:t>（</w:t>
      </w:r>
      <w:r>
        <w:rPr>
          <w:rFonts w:hint="eastAsia" w:hAnsi="宋体"/>
          <w:b/>
          <w:sz w:val="28"/>
          <w:szCs w:val="28"/>
        </w:rPr>
        <w:t>三</w:t>
      </w:r>
      <w:r>
        <w:rPr>
          <w:rFonts w:hAnsi="宋体"/>
          <w:b/>
          <w:sz w:val="28"/>
          <w:szCs w:val="28"/>
        </w:rPr>
        <w:t>）</w:t>
      </w:r>
      <w:r>
        <w:rPr>
          <w:rFonts w:hAnsi="宋体"/>
          <w:b/>
          <w:sz w:val="30"/>
          <w:szCs w:val="30"/>
        </w:rPr>
        <w:t>授权委托书</w:t>
      </w:r>
    </w:p>
    <w:p>
      <w:pPr>
        <w:tabs>
          <w:tab w:val="left" w:pos="482"/>
          <w:tab w:val="left" w:pos="2183"/>
          <w:tab w:val="left" w:pos="3884"/>
          <w:tab w:val="left" w:pos="5585"/>
        </w:tabs>
        <w:spacing w:line="440" w:lineRule="exact"/>
      </w:pPr>
    </w:p>
    <w:p>
      <w:pPr>
        <w:tabs>
          <w:tab w:val="left" w:pos="482"/>
          <w:tab w:val="left" w:pos="2183"/>
          <w:tab w:val="left" w:pos="3884"/>
          <w:tab w:val="left" w:pos="5585"/>
        </w:tabs>
        <w:topLinePunct/>
        <w:spacing w:line="440" w:lineRule="exact"/>
        <w:ind w:firstLine="420" w:firstLineChars="200"/>
        <w:rPr>
          <w:szCs w:val="21"/>
        </w:rPr>
      </w:pPr>
      <w:r>
        <w:rPr>
          <w:rFonts w:hAnsi="宋体"/>
          <w:szCs w:val="21"/>
        </w:rPr>
        <w:t>本人</w:t>
      </w:r>
      <w:r>
        <w:rPr>
          <w:szCs w:val="21"/>
          <w:u w:val="single"/>
        </w:rPr>
        <w:t xml:space="preserve">       </w:t>
      </w:r>
      <w:r>
        <w:rPr>
          <w:rFonts w:hAnsi="宋体"/>
          <w:szCs w:val="21"/>
        </w:rPr>
        <w:t>（姓名）系</w:t>
      </w:r>
      <w:r>
        <w:rPr>
          <w:szCs w:val="21"/>
          <w:u w:val="single"/>
        </w:rPr>
        <w:t xml:space="preserve">        </w:t>
      </w:r>
      <w:r>
        <w:rPr>
          <w:rFonts w:hAnsi="宋体"/>
          <w:szCs w:val="21"/>
        </w:rPr>
        <w:t>（投标人名称）的法定代表人，现委托</w:t>
      </w:r>
      <w:r>
        <w:rPr>
          <w:szCs w:val="21"/>
          <w:u w:val="single"/>
        </w:rPr>
        <w:t xml:space="preserve">        </w:t>
      </w:r>
      <w:r>
        <w:rPr>
          <w:rFonts w:hAnsi="宋体"/>
          <w:szCs w:val="21"/>
        </w:rPr>
        <w:t>（姓名）为我方代理人。代理人根据授权，以我方名义签署、澄清、说明、补正、递交、撤回、修改</w:t>
      </w:r>
      <w:r>
        <w:rPr>
          <w:szCs w:val="21"/>
          <w:u w:val="single"/>
        </w:rPr>
        <w:t xml:space="preserve">                             </w:t>
      </w:r>
      <w:r>
        <w:rPr>
          <w:rFonts w:hAnsi="宋体"/>
          <w:szCs w:val="21"/>
        </w:rPr>
        <w:t>（项目名称）投标文件、签订合同和处理有关事宜，其法律后果由我方承担。</w:t>
      </w:r>
    </w:p>
    <w:p>
      <w:pPr>
        <w:tabs>
          <w:tab w:val="left" w:pos="482"/>
          <w:tab w:val="left" w:pos="2183"/>
          <w:tab w:val="left" w:pos="3884"/>
          <w:tab w:val="left" w:pos="5585"/>
        </w:tabs>
        <w:spacing w:line="440" w:lineRule="exact"/>
        <w:rPr>
          <w:szCs w:val="21"/>
        </w:rPr>
      </w:pPr>
      <w:r>
        <w:rPr>
          <w:szCs w:val="21"/>
        </w:rPr>
        <w:t xml:space="preserve">    </w:t>
      </w:r>
      <w:r>
        <w:rPr>
          <w:rFonts w:hAnsi="宋体"/>
          <w:szCs w:val="21"/>
        </w:rPr>
        <w:t>委托期限：</w:t>
      </w:r>
      <w:r>
        <w:rPr>
          <w:szCs w:val="21"/>
          <w:u w:val="single"/>
        </w:rPr>
        <w:t xml:space="preserve">             </w:t>
      </w:r>
      <w:r>
        <w:rPr>
          <w:rFonts w:hAnsi="宋体"/>
          <w:szCs w:val="21"/>
        </w:rPr>
        <w:t>。</w:t>
      </w:r>
    </w:p>
    <w:p>
      <w:pPr>
        <w:tabs>
          <w:tab w:val="left" w:pos="482"/>
          <w:tab w:val="left" w:pos="2183"/>
          <w:tab w:val="left" w:pos="3884"/>
          <w:tab w:val="left" w:pos="5585"/>
        </w:tabs>
        <w:spacing w:line="440" w:lineRule="exact"/>
        <w:ind w:firstLine="420" w:firstLineChars="200"/>
        <w:rPr>
          <w:szCs w:val="21"/>
        </w:rPr>
      </w:pPr>
      <w:r>
        <w:rPr>
          <w:rFonts w:hAnsi="宋体"/>
          <w:szCs w:val="21"/>
        </w:rPr>
        <w:t>代理人无转委托权。</w:t>
      </w:r>
    </w:p>
    <w:p>
      <w:pPr>
        <w:tabs>
          <w:tab w:val="left" w:pos="482"/>
          <w:tab w:val="left" w:pos="2183"/>
          <w:tab w:val="left" w:pos="3884"/>
          <w:tab w:val="left" w:pos="5585"/>
        </w:tabs>
        <w:spacing w:line="440" w:lineRule="exact"/>
        <w:rPr>
          <w:szCs w:val="21"/>
        </w:rPr>
      </w:pPr>
    </w:p>
    <w:p>
      <w:pPr>
        <w:tabs>
          <w:tab w:val="left" w:pos="482"/>
          <w:tab w:val="left" w:pos="2183"/>
          <w:tab w:val="left" w:pos="3884"/>
          <w:tab w:val="left" w:pos="5585"/>
        </w:tabs>
        <w:spacing w:line="440" w:lineRule="exact"/>
        <w:rPr>
          <w:szCs w:val="21"/>
        </w:rPr>
      </w:pPr>
    </w:p>
    <w:p>
      <w:pPr>
        <w:tabs>
          <w:tab w:val="left" w:pos="482"/>
          <w:tab w:val="left" w:pos="1985"/>
          <w:tab w:val="left" w:pos="3884"/>
          <w:tab w:val="left" w:pos="5585"/>
        </w:tabs>
        <w:spacing w:line="440" w:lineRule="exact"/>
        <w:ind w:firstLine="2480" w:firstLineChars="1181"/>
        <w:jc w:val="left"/>
        <w:rPr>
          <w:szCs w:val="21"/>
        </w:rPr>
      </w:pPr>
      <w:r>
        <w:rPr>
          <w:rFonts w:hAnsi="宋体"/>
          <w:szCs w:val="21"/>
        </w:rPr>
        <w:t>投标人：</w:t>
      </w:r>
      <w:r>
        <w:rPr>
          <w:szCs w:val="21"/>
          <w:u w:val="single"/>
        </w:rPr>
        <w:t xml:space="preserve">                               </w:t>
      </w:r>
      <w:r>
        <w:rPr>
          <w:rFonts w:hAnsi="宋体"/>
          <w:szCs w:val="21"/>
        </w:rPr>
        <w:t>（盖单位章）</w:t>
      </w:r>
    </w:p>
    <w:p>
      <w:pPr>
        <w:tabs>
          <w:tab w:val="left" w:pos="482"/>
          <w:tab w:val="left" w:pos="1985"/>
          <w:tab w:val="left" w:pos="3884"/>
          <w:tab w:val="left" w:pos="5585"/>
        </w:tabs>
        <w:spacing w:line="440" w:lineRule="exact"/>
        <w:ind w:firstLine="2480" w:firstLineChars="1181"/>
        <w:jc w:val="left"/>
        <w:rPr>
          <w:szCs w:val="21"/>
        </w:rPr>
      </w:pPr>
      <w:r>
        <w:rPr>
          <w:rFonts w:hAnsi="宋体"/>
          <w:szCs w:val="21"/>
        </w:rPr>
        <w:t>法定代表人：</w:t>
      </w:r>
      <w:r>
        <w:rPr>
          <w:szCs w:val="21"/>
          <w:u w:val="single"/>
        </w:rPr>
        <w:t xml:space="preserve">                          </w:t>
      </w:r>
      <w:r>
        <w:rPr>
          <w:rFonts w:hAnsi="宋体"/>
          <w:szCs w:val="21"/>
        </w:rPr>
        <w:t>（签字或盖章）</w:t>
      </w:r>
    </w:p>
    <w:p>
      <w:pPr>
        <w:tabs>
          <w:tab w:val="left" w:pos="482"/>
          <w:tab w:val="left" w:pos="1985"/>
          <w:tab w:val="left" w:pos="3884"/>
          <w:tab w:val="left" w:pos="5585"/>
        </w:tabs>
        <w:spacing w:line="440" w:lineRule="exact"/>
        <w:ind w:right="420" w:firstLine="2480" w:firstLineChars="1181"/>
        <w:jc w:val="left"/>
        <w:rPr>
          <w:szCs w:val="21"/>
        </w:rPr>
      </w:pPr>
      <w:r>
        <w:rPr>
          <w:rFonts w:hAnsi="宋体"/>
          <w:szCs w:val="21"/>
        </w:rPr>
        <w:t>身份证号码：</w:t>
      </w:r>
      <w:r>
        <w:rPr>
          <w:szCs w:val="21"/>
          <w:u w:val="single"/>
        </w:rPr>
        <w:t xml:space="preserve">                                     </w:t>
      </w:r>
    </w:p>
    <w:p>
      <w:pPr>
        <w:tabs>
          <w:tab w:val="left" w:pos="482"/>
          <w:tab w:val="left" w:pos="1985"/>
          <w:tab w:val="left" w:pos="3884"/>
          <w:tab w:val="left" w:pos="5585"/>
        </w:tabs>
        <w:wordWrap w:val="0"/>
        <w:spacing w:line="440" w:lineRule="exact"/>
        <w:ind w:right="420" w:firstLine="2480" w:firstLineChars="1181"/>
        <w:rPr>
          <w:szCs w:val="21"/>
        </w:rPr>
      </w:pPr>
      <w:r>
        <w:rPr>
          <w:rFonts w:hAnsi="宋体"/>
          <w:szCs w:val="21"/>
        </w:rPr>
        <w:t>委托代理人：</w:t>
      </w:r>
      <w:r>
        <w:rPr>
          <w:szCs w:val="21"/>
          <w:u w:val="single"/>
        </w:rPr>
        <w:t xml:space="preserve">                                 </w:t>
      </w:r>
      <w:r>
        <w:rPr>
          <w:rFonts w:hAnsi="宋体"/>
          <w:szCs w:val="21"/>
        </w:rPr>
        <w:t>（签字）</w:t>
      </w:r>
    </w:p>
    <w:p>
      <w:pPr>
        <w:tabs>
          <w:tab w:val="left" w:pos="482"/>
          <w:tab w:val="left" w:pos="1985"/>
          <w:tab w:val="left" w:pos="3884"/>
          <w:tab w:val="left" w:pos="5585"/>
        </w:tabs>
        <w:spacing w:line="440" w:lineRule="exact"/>
        <w:ind w:right="420" w:firstLine="105" w:firstLineChars="50"/>
        <w:rPr>
          <w:szCs w:val="21"/>
        </w:rPr>
      </w:pPr>
      <w:r>
        <w:rPr>
          <w:szCs w:val="21"/>
        </w:rPr>
        <w:t xml:space="preserve">                       </w:t>
      </w:r>
      <w:r>
        <w:rPr>
          <w:rFonts w:hAnsi="宋体"/>
          <w:szCs w:val="21"/>
        </w:rPr>
        <w:t>身份证号码：</w:t>
      </w:r>
      <w:r>
        <w:rPr>
          <w:szCs w:val="21"/>
          <w:u w:val="single"/>
        </w:rPr>
        <w:t xml:space="preserve">                                        </w:t>
      </w:r>
    </w:p>
    <w:tbl>
      <w:tblPr>
        <w:tblStyle w:val="32"/>
        <w:tblW w:w="91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66" w:hRule="atLeast"/>
        </w:trPr>
        <w:tc>
          <w:tcPr>
            <w:tcW w:w="9132" w:type="dxa"/>
          </w:tcPr>
          <w:p>
            <w:pPr>
              <w:tabs>
                <w:tab w:val="left" w:pos="482"/>
                <w:tab w:val="left" w:pos="1985"/>
                <w:tab w:val="left" w:pos="3884"/>
                <w:tab w:val="left" w:pos="5585"/>
              </w:tabs>
              <w:spacing w:line="440" w:lineRule="exact"/>
              <w:jc w:val="center"/>
              <w:rPr>
                <w:szCs w:val="21"/>
              </w:rPr>
            </w:pPr>
            <w:r>
              <w:rPr>
                <w:rFonts w:hAnsi="宋体"/>
                <w:szCs w:val="21"/>
              </w:rPr>
              <w:t>代理人身份证复印件粘贴处</w:t>
            </w:r>
          </w:p>
        </w:tc>
      </w:tr>
    </w:tbl>
    <w:p>
      <w:pPr>
        <w:tabs>
          <w:tab w:val="left" w:pos="482"/>
          <w:tab w:val="left" w:pos="1985"/>
          <w:tab w:val="left" w:pos="3884"/>
          <w:tab w:val="left" w:pos="5585"/>
        </w:tabs>
        <w:spacing w:line="440" w:lineRule="exact"/>
        <w:ind w:firstLine="2480" w:firstLineChars="1181"/>
        <w:jc w:val="left"/>
        <w:rPr>
          <w:szCs w:val="21"/>
        </w:rPr>
      </w:pPr>
    </w:p>
    <w:p>
      <w:pPr>
        <w:tabs>
          <w:tab w:val="left" w:pos="482"/>
          <w:tab w:val="left" w:pos="2183"/>
          <w:tab w:val="left" w:pos="3884"/>
          <w:tab w:val="left" w:pos="5585"/>
        </w:tabs>
        <w:spacing w:line="440" w:lineRule="exact"/>
        <w:jc w:val="right"/>
        <w:rPr>
          <w:szCs w:val="21"/>
        </w:rPr>
      </w:pPr>
    </w:p>
    <w:p>
      <w:pPr>
        <w:tabs>
          <w:tab w:val="left" w:pos="482"/>
          <w:tab w:val="left" w:pos="2183"/>
          <w:tab w:val="left" w:pos="3884"/>
          <w:tab w:val="left" w:pos="5585"/>
        </w:tabs>
        <w:spacing w:line="440" w:lineRule="exact"/>
        <w:jc w:val="right"/>
        <w:rPr>
          <w:szCs w:val="21"/>
        </w:rPr>
      </w:pPr>
      <w:r>
        <w:rPr>
          <w:szCs w:val="21"/>
          <w:u w:val="single"/>
        </w:rPr>
        <w:t xml:space="preserve">       </w:t>
      </w:r>
      <w:r>
        <w:rPr>
          <w:rFonts w:hAnsi="宋体"/>
          <w:szCs w:val="21"/>
        </w:rPr>
        <w:t>年</w:t>
      </w:r>
      <w:r>
        <w:rPr>
          <w:szCs w:val="21"/>
          <w:u w:val="single"/>
        </w:rPr>
        <w:t xml:space="preserve">       </w:t>
      </w:r>
      <w:r>
        <w:rPr>
          <w:rFonts w:hAnsi="宋体"/>
          <w:szCs w:val="21"/>
        </w:rPr>
        <w:t>月</w:t>
      </w:r>
      <w:r>
        <w:rPr>
          <w:szCs w:val="21"/>
          <w:u w:val="single"/>
        </w:rPr>
        <w:t xml:space="preserve">       </w:t>
      </w:r>
      <w:r>
        <w:rPr>
          <w:rFonts w:hAnsi="宋体"/>
          <w:szCs w:val="21"/>
        </w:rPr>
        <w:t>日</w:t>
      </w:r>
    </w:p>
    <w:p>
      <w:pPr>
        <w:tabs>
          <w:tab w:val="left" w:pos="482"/>
          <w:tab w:val="left" w:pos="2183"/>
          <w:tab w:val="left" w:pos="3884"/>
          <w:tab w:val="left" w:pos="5585"/>
        </w:tabs>
        <w:spacing w:line="440" w:lineRule="exact"/>
        <w:jc w:val="right"/>
        <w:rPr>
          <w:szCs w:val="21"/>
        </w:rPr>
      </w:pPr>
    </w:p>
    <w:p>
      <w:pPr>
        <w:tabs>
          <w:tab w:val="left" w:pos="482"/>
          <w:tab w:val="left" w:pos="2183"/>
          <w:tab w:val="left" w:pos="3884"/>
          <w:tab w:val="left" w:pos="5585"/>
        </w:tabs>
        <w:spacing w:line="440" w:lineRule="exact"/>
        <w:jc w:val="right"/>
        <w:rPr>
          <w:szCs w:val="21"/>
        </w:rPr>
      </w:pPr>
    </w:p>
    <w:p>
      <w:pPr>
        <w:spacing w:line="380" w:lineRule="exact"/>
        <w:rPr>
          <w:rFonts w:ascii="宋体" w:hAnsi="宋体"/>
          <w:bCs/>
          <w:sz w:val="24"/>
        </w:rPr>
      </w:pPr>
      <w:r>
        <w:rPr>
          <w:rFonts w:hAnsi="宋体"/>
          <w:b/>
          <w:szCs w:val="21"/>
        </w:rPr>
        <w:t>注：本授权委托书在投标文件递交时携带一份。</w:t>
      </w:r>
    </w:p>
    <w:sectPr>
      <w:footerReference r:id="rId7" w:type="default"/>
      <w:pgSz w:w="11907" w:h="16840"/>
      <w:pgMar w:top="1440" w:right="1843" w:bottom="1440" w:left="1797" w:header="851" w:footer="1418"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Century Gothic"/>
    <w:panose1 w:val="020F0502020204030204"/>
    <w:charset w:val="00"/>
    <w:family w:val="swiss"/>
    <w:pitch w:val="default"/>
    <w:sig w:usb0="00000000" w:usb1="00000000" w:usb2="00000001" w:usb3="00000000" w:csb0="0000019F" w:csb1="00000000"/>
  </w:font>
  <w:font w:name="Century Gothic">
    <w:panose1 w:val="020B0502020202020204"/>
    <w:charset w:val="00"/>
    <w:family w:val="auto"/>
    <w:pitch w:val="default"/>
    <w:sig w:usb0="00000287" w:usb1="00000000" w:usb2="00000000" w:usb3="00000000" w:csb0="2000009F" w:csb1="DFD7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华文细黑">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61007A87" w:usb1="80000000" w:usb2="00000008" w:usb3="00000000" w:csb0="200101FF" w:csb1="20280000"/>
  </w:font>
  <w:font w:name="MingLiU">
    <w:panose1 w:val="02020309000000000000"/>
    <w:charset w:val="88"/>
    <w:family w:val="modern"/>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Pr>
    </w:pPr>
    <w:r>
      <w:fldChar w:fldCharType="begin"/>
    </w:r>
    <w:r>
      <w:rPr>
        <w:rStyle w:val="35"/>
      </w:rPr>
      <w:instrText xml:space="preserve">PAGE  </w:instrText>
    </w:r>
    <w:r>
      <w:fldChar w:fldCharType="separate"/>
    </w:r>
    <w:r>
      <w:rPr>
        <w:rStyle w:val="35"/>
      </w:rPr>
      <w:t>5</w:t>
    </w:r>
    <w:r>
      <w:fldChar w:fldCharType="end"/>
    </w: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82"/>
        <w:tab w:val="left" w:pos="2183"/>
        <w:tab w:val="left" w:pos="3884"/>
        <w:tab w:val="left" w:pos="5585"/>
      </w:tabs>
    </w:pPr>
    <w:r>
      <w:pict>
        <v:shape id="_x0000_s3073" o:spid="_x0000_s3073"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tabs>
                    <w:tab w:val="left" w:pos="482"/>
                    <w:tab w:val="left" w:pos="2183"/>
                    <w:tab w:val="left" w:pos="3884"/>
                    <w:tab w:val="left" w:pos="5585"/>
                  </w:tabs>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33</w:t>
                </w:r>
                <w:r>
                  <w:rPr>
                    <w:rFonts w:hint="eastAsia"/>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jc w:val="both"/>
      <w:rPr>
        <w:rStyle w:val="35"/>
      </w:rPr>
    </w:pPr>
    <w:r>
      <w:fldChar w:fldCharType="begin"/>
    </w:r>
    <w:r>
      <w:rPr>
        <w:rStyle w:val="35"/>
      </w:rPr>
      <w:instrText xml:space="preserve">PAGE  </w:instrText>
    </w:r>
    <w:r>
      <w:fldChar w:fldCharType="separate"/>
    </w:r>
    <w:r>
      <w:rPr>
        <w:rStyle w:val="35"/>
      </w:rPr>
      <w:t>36</w:t>
    </w:r>
    <w:r>
      <w:fldChar w:fldCharType="end"/>
    </w:r>
  </w:p>
  <w:p>
    <w:pPr>
      <w:pStyle w:val="2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right"/>
    </w:pPr>
    <w:r>
      <w:rPr>
        <w:rFonts w:hint="eastAsia"/>
      </w:rPr>
      <w:t>温州市中医院六虹桥院区综合楼病房玻璃门及门禁安装工程</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482"/>
        <w:tab w:val="left" w:pos="2183"/>
        <w:tab w:val="left" w:pos="3884"/>
        <w:tab w:val="left" w:pos="558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A68FD8"/>
    <w:multiLevelType w:val="singleLevel"/>
    <w:tmpl w:val="8CA68FD8"/>
    <w:lvl w:ilvl="0" w:tentative="0">
      <w:start w:val="1"/>
      <w:numFmt w:val="decimal"/>
      <w:suff w:val="nothing"/>
      <w:lvlText w:val="%1、"/>
      <w:lvlJc w:val="left"/>
    </w:lvl>
  </w:abstractNum>
  <w:abstractNum w:abstractNumId="1">
    <w:nsid w:val="C61EE3CB"/>
    <w:multiLevelType w:val="singleLevel"/>
    <w:tmpl w:val="C61EE3CB"/>
    <w:lvl w:ilvl="0" w:tentative="0">
      <w:start w:val="1"/>
      <w:numFmt w:val="decimal"/>
      <w:suff w:val="nothing"/>
      <w:lvlText w:val="%1、"/>
      <w:lvlJc w:val="left"/>
    </w:lvl>
  </w:abstractNum>
  <w:abstractNum w:abstractNumId="2">
    <w:nsid w:val="C62E4C14"/>
    <w:multiLevelType w:val="singleLevel"/>
    <w:tmpl w:val="C62E4C14"/>
    <w:lvl w:ilvl="0" w:tentative="0">
      <w:start w:val="1"/>
      <w:numFmt w:val="decimal"/>
      <w:suff w:val="nothing"/>
      <w:lvlText w:val="（%1）"/>
      <w:lvlJc w:val="left"/>
    </w:lvl>
  </w:abstractNum>
  <w:abstractNum w:abstractNumId="3">
    <w:nsid w:val="059E6C49"/>
    <w:multiLevelType w:val="singleLevel"/>
    <w:tmpl w:val="059E6C49"/>
    <w:lvl w:ilvl="0" w:tentative="0">
      <w:start w:val="7"/>
      <w:numFmt w:val="chineseCounting"/>
      <w:suff w:val="nothing"/>
      <w:lvlText w:val="%1、"/>
      <w:lvlJc w:val="left"/>
      <w:rPr>
        <w:rFonts w:hint="eastAsia"/>
      </w:rPr>
    </w:lvl>
  </w:abstractNum>
  <w:abstractNum w:abstractNumId="4">
    <w:nsid w:val="554D0A1C"/>
    <w:multiLevelType w:val="singleLevel"/>
    <w:tmpl w:val="554D0A1C"/>
    <w:lvl w:ilvl="0" w:tentative="0">
      <w:start w:val="1"/>
      <w:numFmt w:val="decimal"/>
      <w:suff w:val="space"/>
      <w:lvlText w:val="%1．"/>
      <w:lvlJc w:val="left"/>
    </w:lvl>
  </w:abstractNum>
  <w:abstractNum w:abstractNumId="5">
    <w:nsid w:val="59A26703"/>
    <w:multiLevelType w:val="multilevel"/>
    <w:tmpl w:val="59A26703"/>
    <w:lvl w:ilvl="0" w:tentative="0">
      <w:start w:val="1"/>
      <w:numFmt w:val="decimal"/>
      <w:lvlText w:val="（%1）"/>
      <w:lvlJc w:val="left"/>
      <w:pPr>
        <w:tabs>
          <w:tab w:val="left" w:pos="170"/>
        </w:tabs>
        <w:ind w:left="0" w:firstLine="284"/>
      </w:pPr>
      <w:rPr>
        <w:rFonts w:hint="eastAsia" w:ascii="宋体" w:hAnsi="宋体" w:eastAsia="宋体"/>
        <w:b w:val="0"/>
        <w:lang w:val="en-US"/>
      </w:rPr>
    </w:lvl>
    <w:lvl w:ilvl="1" w:tentative="0">
      <w:start w:val="1"/>
      <w:numFmt w:val="lowerLetter"/>
      <w:lvlText w:val="%2)"/>
      <w:lvlJc w:val="left"/>
      <w:pPr>
        <w:tabs>
          <w:tab w:val="left" w:pos="1270"/>
        </w:tabs>
        <w:ind w:left="1270" w:hanging="420"/>
      </w:pPr>
    </w:lvl>
    <w:lvl w:ilvl="2" w:tentative="0">
      <w:start w:val="1"/>
      <w:numFmt w:val="lowerRoman"/>
      <w:lvlText w:val="%3."/>
      <w:lvlJc w:val="right"/>
      <w:pPr>
        <w:tabs>
          <w:tab w:val="left" w:pos="1690"/>
        </w:tabs>
        <w:ind w:left="1690" w:hanging="420"/>
      </w:pPr>
    </w:lvl>
    <w:lvl w:ilvl="3" w:tentative="0">
      <w:start w:val="1"/>
      <w:numFmt w:val="decimal"/>
      <w:lvlText w:val="%4."/>
      <w:lvlJc w:val="left"/>
      <w:pPr>
        <w:tabs>
          <w:tab w:val="left" w:pos="2110"/>
        </w:tabs>
        <w:ind w:left="2110" w:hanging="420"/>
      </w:pPr>
    </w:lvl>
    <w:lvl w:ilvl="4" w:tentative="0">
      <w:start w:val="1"/>
      <w:numFmt w:val="lowerLetter"/>
      <w:lvlText w:val="%5)"/>
      <w:lvlJc w:val="left"/>
      <w:pPr>
        <w:tabs>
          <w:tab w:val="left" w:pos="2530"/>
        </w:tabs>
        <w:ind w:left="2530" w:hanging="420"/>
      </w:pPr>
    </w:lvl>
    <w:lvl w:ilvl="5" w:tentative="0">
      <w:start w:val="1"/>
      <w:numFmt w:val="lowerRoman"/>
      <w:lvlText w:val="%6."/>
      <w:lvlJc w:val="right"/>
      <w:pPr>
        <w:tabs>
          <w:tab w:val="left" w:pos="2950"/>
        </w:tabs>
        <w:ind w:left="2950" w:hanging="420"/>
      </w:pPr>
    </w:lvl>
    <w:lvl w:ilvl="6" w:tentative="0">
      <w:start w:val="1"/>
      <w:numFmt w:val="decimal"/>
      <w:lvlText w:val="%7."/>
      <w:lvlJc w:val="left"/>
      <w:pPr>
        <w:tabs>
          <w:tab w:val="left" w:pos="3370"/>
        </w:tabs>
        <w:ind w:left="3370" w:hanging="420"/>
      </w:pPr>
    </w:lvl>
    <w:lvl w:ilvl="7" w:tentative="0">
      <w:start w:val="1"/>
      <w:numFmt w:val="lowerLetter"/>
      <w:lvlText w:val="%8)"/>
      <w:lvlJc w:val="left"/>
      <w:pPr>
        <w:tabs>
          <w:tab w:val="left" w:pos="3790"/>
        </w:tabs>
        <w:ind w:left="3790" w:hanging="420"/>
      </w:pPr>
    </w:lvl>
    <w:lvl w:ilvl="8" w:tentative="0">
      <w:start w:val="1"/>
      <w:numFmt w:val="lowerRoman"/>
      <w:lvlText w:val="%9."/>
      <w:lvlJc w:val="right"/>
      <w:pPr>
        <w:tabs>
          <w:tab w:val="left" w:pos="4210"/>
        </w:tabs>
        <w:ind w:left="4210" w:hanging="420"/>
      </w:pPr>
    </w:lvl>
  </w:abstractNum>
  <w:abstractNum w:abstractNumId="6">
    <w:nsid w:val="59B78753"/>
    <w:multiLevelType w:val="singleLevel"/>
    <w:tmpl w:val="59B78753"/>
    <w:lvl w:ilvl="0" w:tentative="0">
      <w:start w:val="3"/>
      <w:numFmt w:val="decimal"/>
      <w:suff w:val="nothing"/>
      <w:lvlText w:val="%1、"/>
      <w:lvlJc w:val="left"/>
    </w:lvl>
  </w:abstractNum>
  <w:abstractNum w:abstractNumId="7">
    <w:nsid w:val="5A010A45"/>
    <w:multiLevelType w:val="singleLevel"/>
    <w:tmpl w:val="5A010A45"/>
    <w:lvl w:ilvl="0" w:tentative="0">
      <w:start w:val="2"/>
      <w:numFmt w:val="chineseCounting"/>
      <w:suff w:val="nothing"/>
      <w:lvlText w:val="%1、"/>
      <w:lvlJc w:val="left"/>
    </w:lvl>
  </w:abstractNum>
  <w:abstractNum w:abstractNumId="8">
    <w:nsid w:val="6CC50537"/>
    <w:multiLevelType w:val="singleLevel"/>
    <w:tmpl w:val="6CC50537"/>
    <w:lvl w:ilvl="0" w:tentative="0">
      <w:start w:val="4"/>
      <w:numFmt w:val="chineseCounting"/>
      <w:suff w:val="space"/>
      <w:lvlText w:val="第%1章"/>
      <w:lvlJc w:val="left"/>
      <w:rPr>
        <w:rFonts w:hint="eastAsia"/>
      </w:rPr>
    </w:lvl>
  </w:abstractNum>
  <w:abstractNum w:abstractNumId="9">
    <w:nsid w:val="736C4813"/>
    <w:multiLevelType w:val="multilevel"/>
    <w:tmpl w:val="736C4813"/>
    <w:lvl w:ilvl="0" w:tentative="0">
      <w:start w:val="1"/>
      <w:numFmt w:val="none"/>
      <w:lvlText w:val="2"/>
      <w:lvlJc w:val="left"/>
      <w:pPr>
        <w:tabs>
          <w:tab w:val="left" w:pos="425"/>
        </w:tabs>
        <w:ind w:left="425" w:hanging="425"/>
      </w:pPr>
      <w:rPr>
        <w:rFonts w:hint="eastAsia"/>
      </w:rPr>
    </w:lvl>
    <w:lvl w:ilvl="1" w:tentative="0">
      <w:start w:val="1"/>
      <w:numFmt w:val="decimal"/>
      <w:lvlText w:val="%13.%2"/>
      <w:lvlJc w:val="left"/>
      <w:pPr>
        <w:tabs>
          <w:tab w:val="left" w:pos="992"/>
        </w:tabs>
        <w:ind w:left="992" w:hanging="567"/>
      </w:pPr>
      <w:rPr>
        <w:rFonts w:hint="eastAsia"/>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1.%2.%3.%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num w:numId="1">
    <w:abstractNumId w:val="0"/>
  </w:num>
  <w:num w:numId="2">
    <w:abstractNumId w:val="9"/>
  </w:num>
  <w:num w:numId="3">
    <w:abstractNumId w:val="2"/>
  </w:num>
  <w:num w:numId="4">
    <w:abstractNumId w:val="5"/>
  </w:num>
  <w:num w:numId="5">
    <w:abstractNumId w:val="8"/>
  </w:num>
  <w:num w:numId="6">
    <w:abstractNumId w:val="3"/>
  </w:num>
  <w:num w:numId="7">
    <w:abstractNumId w:val="7"/>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DFB"/>
    <w:rsid w:val="00005598"/>
    <w:rsid w:val="0000617C"/>
    <w:rsid w:val="00007C20"/>
    <w:rsid w:val="00007F77"/>
    <w:rsid w:val="000100A9"/>
    <w:rsid w:val="00010E14"/>
    <w:rsid w:val="0001284A"/>
    <w:rsid w:val="0001337D"/>
    <w:rsid w:val="000135AD"/>
    <w:rsid w:val="00014060"/>
    <w:rsid w:val="00014EDF"/>
    <w:rsid w:val="000157B8"/>
    <w:rsid w:val="00015DA4"/>
    <w:rsid w:val="00021B91"/>
    <w:rsid w:val="00022F34"/>
    <w:rsid w:val="0002417A"/>
    <w:rsid w:val="00024E63"/>
    <w:rsid w:val="00024EFC"/>
    <w:rsid w:val="00025091"/>
    <w:rsid w:val="00025510"/>
    <w:rsid w:val="0002566C"/>
    <w:rsid w:val="000259B9"/>
    <w:rsid w:val="000273FA"/>
    <w:rsid w:val="000279EA"/>
    <w:rsid w:val="00030270"/>
    <w:rsid w:val="00030648"/>
    <w:rsid w:val="0003087E"/>
    <w:rsid w:val="00031390"/>
    <w:rsid w:val="00031D21"/>
    <w:rsid w:val="00031F71"/>
    <w:rsid w:val="000336A7"/>
    <w:rsid w:val="00034FC2"/>
    <w:rsid w:val="0003501D"/>
    <w:rsid w:val="00036010"/>
    <w:rsid w:val="000363AC"/>
    <w:rsid w:val="000410E2"/>
    <w:rsid w:val="00041F96"/>
    <w:rsid w:val="000432F5"/>
    <w:rsid w:val="000436F0"/>
    <w:rsid w:val="00043CFB"/>
    <w:rsid w:val="0004456F"/>
    <w:rsid w:val="00044690"/>
    <w:rsid w:val="000456ED"/>
    <w:rsid w:val="00045BD2"/>
    <w:rsid w:val="00046CDE"/>
    <w:rsid w:val="00046D73"/>
    <w:rsid w:val="000470F1"/>
    <w:rsid w:val="000477C6"/>
    <w:rsid w:val="0004789C"/>
    <w:rsid w:val="00047A3B"/>
    <w:rsid w:val="00050D38"/>
    <w:rsid w:val="00051D27"/>
    <w:rsid w:val="00052919"/>
    <w:rsid w:val="0005393F"/>
    <w:rsid w:val="00053EC0"/>
    <w:rsid w:val="000549A7"/>
    <w:rsid w:val="00054B87"/>
    <w:rsid w:val="00057B47"/>
    <w:rsid w:val="00057C2C"/>
    <w:rsid w:val="0006073A"/>
    <w:rsid w:val="0006282E"/>
    <w:rsid w:val="0006364B"/>
    <w:rsid w:val="00064610"/>
    <w:rsid w:val="000649B8"/>
    <w:rsid w:val="000664BD"/>
    <w:rsid w:val="000667BA"/>
    <w:rsid w:val="000667CB"/>
    <w:rsid w:val="00066815"/>
    <w:rsid w:val="00066A32"/>
    <w:rsid w:val="00071080"/>
    <w:rsid w:val="000712B3"/>
    <w:rsid w:val="0007276D"/>
    <w:rsid w:val="000748EC"/>
    <w:rsid w:val="00075AC2"/>
    <w:rsid w:val="00075CF8"/>
    <w:rsid w:val="000764E2"/>
    <w:rsid w:val="00081C99"/>
    <w:rsid w:val="00082C5C"/>
    <w:rsid w:val="0008371E"/>
    <w:rsid w:val="000841FA"/>
    <w:rsid w:val="000862E7"/>
    <w:rsid w:val="000879AF"/>
    <w:rsid w:val="0009025C"/>
    <w:rsid w:val="00090B93"/>
    <w:rsid w:val="000914A2"/>
    <w:rsid w:val="000923A0"/>
    <w:rsid w:val="000933D4"/>
    <w:rsid w:val="00094768"/>
    <w:rsid w:val="00094D81"/>
    <w:rsid w:val="00094E6E"/>
    <w:rsid w:val="00096909"/>
    <w:rsid w:val="00096B4E"/>
    <w:rsid w:val="000973BC"/>
    <w:rsid w:val="00097772"/>
    <w:rsid w:val="0009781A"/>
    <w:rsid w:val="000A15D4"/>
    <w:rsid w:val="000A5AA3"/>
    <w:rsid w:val="000B07B3"/>
    <w:rsid w:val="000B0AFF"/>
    <w:rsid w:val="000B1D9E"/>
    <w:rsid w:val="000B679C"/>
    <w:rsid w:val="000B6D12"/>
    <w:rsid w:val="000C16B0"/>
    <w:rsid w:val="000C24DD"/>
    <w:rsid w:val="000C4406"/>
    <w:rsid w:val="000C4EA9"/>
    <w:rsid w:val="000C5573"/>
    <w:rsid w:val="000C5702"/>
    <w:rsid w:val="000C5B56"/>
    <w:rsid w:val="000C64DE"/>
    <w:rsid w:val="000C71C7"/>
    <w:rsid w:val="000C74E7"/>
    <w:rsid w:val="000D0B4C"/>
    <w:rsid w:val="000D1523"/>
    <w:rsid w:val="000D1D57"/>
    <w:rsid w:val="000D2500"/>
    <w:rsid w:val="000D2A7E"/>
    <w:rsid w:val="000D3014"/>
    <w:rsid w:val="000D35BA"/>
    <w:rsid w:val="000D383F"/>
    <w:rsid w:val="000D5C58"/>
    <w:rsid w:val="000D6779"/>
    <w:rsid w:val="000E02FA"/>
    <w:rsid w:val="000E29EE"/>
    <w:rsid w:val="000E324D"/>
    <w:rsid w:val="000E4037"/>
    <w:rsid w:val="000E4460"/>
    <w:rsid w:val="000E4ECE"/>
    <w:rsid w:val="000E4FEA"/>
    <w:rsid w:val="000E5495"/>
    <w:rsid w:val="000E5E8D"/>
    <w:rsid w:val="000E756E"/>
    <w:rsid w:val="000E782B"/>
    <w:rsid w:val="000F0236"/>
    <w:rsid w:val="000F1C43"/>
    <w:rsid w:val="000F30E1"/>
    <w:rsid w:val="000F33A2"/>
    <w:rsid w:val="000F3C1F"/>
    <w:rsid w:val="000F4158"/>
    <w:rsid w:val="000F4238"/>
    <w:rsid w:val="000F4B25"/>
    <w:rsid w:val="000F6ECE"/>
    <w:rsid w:val="000F7E99"/>
    <w:rsid w:val="000F7FA2"/>
    <w:rsid w:val="001023B9"/>
    <w:rsid w:val="00102B04"/>
    <w:rsid w:val="00102DA9"/>
    <w:rsid w:val="00103C6B"/>
    <w:rsid w:val="00104ABA"/>
    <w:rsid w:val="001058F4"/>
    <w:rsid w:val="00106904"/>
    <w:rsid w:val="001069C4"/>
    <w:rsid w:val="00107489"/>
    <w:rsid w:val="001114F3"/>
    <w:rsid w:val="00111BFA"/>
    <w:rsid w:val="001143C3"/>
    <w:rsid w:val="00114E7C"/>
    <w:rsid w:val="00115AB5"/>
    <w:rsid w:val="00117255"/>
    <w:rsid w:val="0011794E"/>
    <w:rsid w:val="00117DBA"/>
    <w:rsid w:val="001207E3"/>
    <w:rsid w:val="00122098"/>
    <w:rsid w:val="00122315"/>
    <w:rsid w:val="0012271C"/>
    <w:rsid w:val="00126922"/>
    <w:rsid w:val="00126F6B"/>
    <w:rsid w:val="00127EE0"/>
    <w:rsid w:val="00130455"/>
    <w:rsid w:val="001314E0"/>
    <w:rsid w:val="0013278F"/>
    <w:rsid w:val="00134527"/>
    <w:rsid w:val="00134D71"/>
    <w:rsid w:val="00137DC7"/>
    <w:rsid w:val="00137EF9"/>
    <w:rsid w:val="00137FC0"/>
    <w:rsid w:val="00141A63"/>
    <w:rsid w:val="00143AF2"/>
    <w:rsid w:val="00143B59"/>
    <w:rsid w:val="0014443C"/>
    <w:rsid w:val="00144F3B"/>
    <w:rsid w:val="0014557B"/>
    <w:rsid w:val="00146119"/>
    <w:rsid w:val="001461C5"/>
    <w:rsid w:val="00146917"/>
    <w:rsid w:val="00151869"/>
    <w:rsid w:val="00153D9D"/>
    <w:rsid w:val="00154C57"/>
    <w:rsid w:val="00154D71"/>
    <w:rsid w:val="0016025C"/>
    <w:rsid w:val="00160728"/>
    <w:rsid w:val="00162944"/>
    <w:rsid w:val="00162B38"/>
    <w:rsid w:val="00164119"/>
    <w:rsid w:val="001646A7"/>
    <w:rsid w:val="00165996"/>
    <w:rsid w:val="00167646"/>
    <w:rsid w:val="00167DCA"/>
    <w:rsid w:val="00170026"/>
    <w:rsid w:val="00172A27"/>
    <w:rsid w:val="00172C6D"/>
    <w:rsid w:val="00173689"/>
    <w:rsid w:val="00175F8B"/>
    <w:rsid w:val="00176677"/>
    <w:rsid w:val="001817C0"/>
    <w:rsid w:val="00183158"/>
    <w:rsid w:val="001834BD"/>
    <w:rsid w:val="00183DEF"/>
    <w:rsid w:val="00185093"/>
    <w:rsid w:val="001850C1"/>
    <w:rsid w:val="00185D06"/>
    <w:rsid w:val="00186B57"/>
    <w:rsid w:val="001909E7"/>
    <w:rsid w:val="001909FB"/>
    <w:rsid w:val="00191236"/>
    <w:rsid w:val="00191727"/>
    <w:rsid w:val="00191B0F"/>
    <w:rsid w:val="00191DEF"/>
    <w:rsid w:val="0019245C"/>
    <w:rsid w:val="001942F3"/>
    <w:rsid w:val="00196DCB"/>
    <w:rsid w:val="00197505"/>
    <w:rsid w:val="001A057F"/>
    <w:rsid w:val="001A066A"/>
    <w:rsid w:val="001A140F"/>
    <w:rsid w:val="001A1513"/>
    <w:rsid w:val="001A354F"/>
    <w:rsid w:val="001A3BD9"/>
    <w:rsid w:val="001A412F"/>
    <w:rsid w:val="001A664A"/>
    <w:rsid w:val="001A6CA2"/>
    <w:rsid w:val="001A6D06"/>
    <w:rsid w:val="001A71B7"/>
    <w:rsid w:val="001A7DC0"/>
    <w:rsid w:val="001B07C2"/>
    <w:rsid w:val="001B147F"/>
    <w:rsid w:val="001B3550"/>
    <w:rsid w:val="001B3A01"/>
    <w:rsid w:val="001B3F8E"/>
    <w:rsid w:val="001B4F0A"/>
    <w:rsid w:val="001B68D9"/>
    <w:rsid w:val="001B6CD5"/>
    <w:rsid w:val="001B7583"/>
    <w:rsid w:val="001B775D"/>
    <w:rsid w:val="001B79BF"/>
    <w:rsid w:val="001B7CB9"/>
    <w:rsid w:val="001B7E23"/>
    <w:rsid w:val="001C03C4"/>
    <w:rsid w:val="001C1EF3"/>
    <w:rsid w:val="001C2D41"/>
    <w:rsid w:val="001C4D1D"/>
    <w:rsid w:val="001C518C"/>
    <w:rsid w:val="001C5DF3"/>
    <w:rsid w:val="001C5EE7"/>
    <w:rsid w:val="001C61AA"/>
    <w:rsid w:val="001C6218"/>
    <w:rsid w:val="001C69DD"/>
    <w:rsid w:val="001C7855"/>
    <w:rsid w:val="001D3EFD"/>
    <w:rsid w:val="001D4769"/>
    <w:rsid w:val="001D5FA5"/>
    <w:rsid w:val="001E0B11"/>
    <w:rsid w:val="001E19F8"/>
    <w:rsid w:val="001E394B"/>
    <w:rsid w:val="001E3A34"/>
    <w:rsid w:val="001E3D1E"/>
    <w:rsid w:val="001E42B9"/>
    <w:rsid w:val="001E4C06"/>
    <w:rsid w:val="001E56BC"/>
    <w:rsid w:val="001E69B4"/>
    <w:rsid w:val="001E6DB3"/>
    <w:rsid w:val="001F11F8"/>
    <w:rsid w:val="001F1D8D"/>
    <w:rsid w:val="001F249D"/>
    <w:rsid w:val="001F2C89"/>
    <w:rsid w:val="001F2DA2"/>
    <w:rsid w:val="001F448E"/>
    <w:rsid w:val="001F4D59"/>
    <w:rsid w:val="001F6568"/>
    <w:rsid w:val="001F6C95"/>
    <w:rsid w:val="001F75BB"/>
    <w:rsid w:val="001F7EF1"/>
    <w:rsid w:val="00200034"/>
    <w:rsid w:val="00200D6C"/>
    <w:rsid w:val="0020261F"/>
    <w:rsid w:val="002028FA"/>
    <w:rsid w:val="00202900"/>
    <w:rsid w:val="00204944"/>
    <w:rsid w:val="002049B8"/>
    <w:rsid w:val="00205ABC"/>
    <w:rsid w:val="00205D48"/>
    <w:rsid w:val="0021066D"/>
    <w:rsid w:val="00211E3B"/>
    <w:rsid w:val="00211FC6"/>
    <w:rsid w:val="00213977"/>
    <w:rsid w:val="002157FB"/>
    <w:rsid w:val="00216E59"/>
    <w:rsid w:val="002211E1"/>
    <w:rsid w:val="0022220A"/>
    <w:rsid w:val="0022234D"/>
    <w:rsid w:val="00222D73"/>
    <w:rsid w:val="00225E82"/>
    <w:rsid w:val="00226C57"/>
    <w:rsid w:val="002338B3"/>
    <w:rsid w:val="00233E4A"/>
    <w:rsid w:val="002342CE"/>
    <w:rsid w:val="00236BD8"/>
    <w:rsid w:val="00236F5E"/>
    <w:rsid w:val="00240D01"/>
    <w:rsid w:val="00243015"/>
    <w:rsid w:val="00243E25"/>
    <w:rsid w:val="0024435B"/>
    <w:rsid w:val="00245A5E"/>
    <w:rsid w:val="00245F8D"/>
    <w:rsid w:val="00246970"/>
    <w:rsid w:val="002472BA"/>
    <w:rsid w:val="00247711"/>
    <w:rsid w:val="00251902"/>
    <w:rsid w:val="00252585"/>
    <w:rsid w:val="00252824"/>
    <w:rsid w:val="00255348"/>
    <w:rsid w:val="00255779"/>
    <w:rsid w:val="00255A44"/>
    <w:rsid w:val="00255D8B"/>
    <w:rsid w:val="002571E4"/>
    <w:rsid w:val="00257273"/>
    <w:rsid w:val="002613F5"/>
    <w:rsid w:val="00261431"/>
    <w:rsid w:val="00262395"/>
    <w:rsid w:val="00263248"/>
    <w:rsid w:val="00263363"/>
    <w:rsid w:val="00263A3D"/>
    <w:rsid w:val="00264DCE"/>
    <w:rsid w:val="00266C87"/>
    <w:rsid w:val="00267A60"/>
    <w:rsid w:val="00270629"/>
    <w:rsid w:val="00270C81"/>
    <w:rsid w:val="00271041"/>
    <w:rsid w:val="002736CA"/>
    <w:rsid w:val="00273A8F"/>
    <w:rsid w:val="002749E9"/>
    <w:rsid w:val="00274C42"/>
    <w:rsid w:val="00274E64"/>
    <w:rsid w:val="0027527C"/>
    <w:rsid w:val="002754C5"/>
    <w:rsid w:val="00275F10"/>
    <w:rsid w:val="00276F6A"/>
    <w:rsid w:val="0027741F"/>
    <w:rsid w:val="00280C23"/>
    <w:rsid w:val="00281A43"/>
    <w:rsid w:val="00282022"/>
    <w:rsid w:val="00282DF2"/>
    <w:rsid w:val="0028405B"/>
    <w:rsid w:val="0028478D"/>
    <w:rsid w:val="00284EF7"/>
    <w:rsid w:val="00286356"/>
    <w:rsid w:val="0029035D"/>
    <w:rsid w:val="0029143E"/>
    <w:rsid w:val="00291ABD"/>
    <w:rsid w:val="00292A19"/>
    <w:rsid w:val="00292A3B"/>
    <w:rsid w:val="00293D4C"/>
    <w:rsid w:val="00295687"/>
    <w:rsid w:val="00297CBD"/>
    <w:rsid w:val="002A0AF0"/>
    <w:rsid w:val="002A0C73"/>
    <w:rsid w:val="002A1FE5"/>
    <w:rsid w:val="002A285C"/>
    <w:rsid w:val="002A2DD4"/>
    <w:rsid w:val="002A3875"/>
    <w:rsid w:val="002A59A3"/>
    <w:rsid w:val="002A5B7E"/>
    <w:rsid w:val="002A7C16"/>
    <w:rsid w:val="002B0D8F"/>
    <w:rsid w:val="002B13A8"/>
    <w:rsid w:val="002B1D63"/>
    <w:rsid w:val="002B2A12"/>
    <w:rsid w:val="002B31BF"/>
    <w:rsid w:val="002B36A9"/>
    <w:rsid w:val="002B3745"/>
    <w:rsid w:val="002B4B27"/>
    <w:rsid w:val="002B6609"/>
    <w:rsid w:val="002B7007"/>
    <w:rsid w:val="002B7C58"/>
    <w:rsid w:val="002B7D57"/>
    <w:rsid w:val="002C0CEC"/>
    <w:rsid w:val="002C2109"/>
    <w:rsid w:val="002C224D"/>
    <w:rsid w:val="002C499E"/>
    <w:rsid w:val="002C4A1F"/>
    <w:rsid w:val="002C74D1"/>
    <w:rsid w:val="002D0F0C"/>
    <w:rsid w:val="002D225B"/>
    <w:rsid w:val="002D2D73"/>
    <w:rsid w:val="002D31A4"/>
    <w:rsid w:val="002D3C5F"/>
    <w:rsid w:val="002D468E"/>
    <w:rsid w:val="002D543E"/>
    <w:rsid w:val="002D5C66"/>
    <w:rsid w:val="002D5D7B"/>
    <w:rsid w:val="002D6DE9"/>
    <w:rsid w:val="002D7E61"/>
    <w:rsid w:val="002E1A70"/>
    <w:rsid w:val="002E283C"/>
    <w:rsid w:val="002E3592"/>
    <w:rsid w:val="002E3D8F"/>
    <w:rsid w:val="002E4D88"/>
    <w:rsid w:val="002E7DD2"/>
    <w:rsid w:val="002F0C98"/>
    <w:rsid w:val="002F2CB5"/>
    <w:rsid w:val="002F3D2F"/>
    <w:rsid w:val="002F43DB"/>
    <w:rsid w:val="002F533B"/>
    <w:rsid w:val="002F5FE2"/>
    <w:rsid w:val="002F68C0"/>
    <w:rsid w:val="002F739B"/>
    <w:rsid w:val="003007AA"/>
    <w:rsid w:val="003018C2"/>
    <w:rsid w:val="003020CF"/>
    <w:rsid w:val="0030268E"/>
    <w:rsid w:val="00303A19"/>
    <w:rsid w:val="00303D7D"/>
    <w:rsid w:val="003042D4"/>
    <w:rsid w:val="00304F1D"/>
    <w:rsid w:val="00305553"/>
    <w:rsid w:val="003061C6"/>
    <w:rsid w:val="003065F2"/>
    <w:rsid w:val="003077AF"/>
    <w:rsid w:val="00307F8C"/>
    <w:rsid w:val="00312241"/>
    <w:rsid w:val="00314441"/>
    <w:rsid w:val="00315567"/>
    <w:rsid w:val="00322798"/>
    <w:rsid w:val="00322CA6"/>
    <w:rsid w:val="00323875"/>
    <w:rsid w:val="00324A48"/>
    <w:rsid w:val="00324C64"/>
    <w:rsid w:val="00325741"/>
    <w:rsid w:val="00326186"/>
    <w:rsid w:val="0032640D"/>
    <w:rsid w:val="003306D3"/>
    <w:rsid w:val="003312DA"/>
    <w:rsid w:val="00333730"/>
    <w:rsid w:val="003366A2"/>
    <w:rsid w:val="00337C62"/>
    <w:rsid w:val="00340999"/>
    <w:rsid w:val="00340B42"/>
    <w:rsid w:val="00341470"/>
    <w:rsid w:val="00343085"/>
    <w:rsid w:val="003431D9"/>
    <w:rsid w:val="00344A96"/>
    <w:rsid w:val="00344F81"/>
    <w:rsid w:val="00345E4C"/>
    <w:rsid w:val="00346033"/>
    <w:rsid w:val="00346C02"/>
    <w:rsid w:val="003476B2"/>
    <w:rsid w:val="003500E9"/>
    <w:rsid w:val="00350F42"/>
    <w:rsid w:val="00351012"/>
    <w:rsid w:val="0035151E"/>
    <w:rsid w:val="0035292D"/>
    <w:rsid w:val="003549DD"/>
    <w:rsid w:val="00355CF2"/>
    <w:rsid w:val="00356479"/>
    <w:rsid w:val="003566D0"/>
    <w:rsid w:val="00356B5B"/>
    <w:rsid w:val="0035732B"/>
    <w:rsid w:val="00360BC2"/>
    <w:rsid w:val="00360F8F"/>
    <w:rsid w:val="00360FEF"/>
    <w:rsid w:val="00361696"/>
    <w:rsid w:val="00361EFF"/>
    <w:rsid w:val="00362B40"/>
    <w:rsid w:val="00363A85"/>
    <w:rsid w:val="0036508F"/>
    <w:rsid w:val="00365EBA"/>
    <w:rsid w:val="00366311"/>
    <w:rsid w:val="00366750"/>
    <w:rsid w:val="00366F64"/>
    <w:rsid w:val="003677A9"/>
    <w:rsid w:val="00367FAA"/>
    <w:rsid w:val="00370217"/>
    <w:rsid w:val="00370237"/>
    <w:rsid w:val="0037045B"/>
    <w:rsid w:val="00371007"/>
    <w:rsid w:val="00371600"/>
    <w:rsid w:val="00372661"/>
    <w:rsid w:val="00372E90"/>
    <w:rsid w:val="00373411"/>
    <w:rsid w:val="003740AC"/>
    <w:rsid w:val="00375B46"/>
    <w:rsid w:val="00375FA4"/>
    <w:rsid w:val="003760DD"/>
    <w:rsid w:val="003770BB"/>
    <w:rsid w:val="00377B55"/>
    <w:rsid w:val="00377FE2"/>
    <w:rsid w:val="003812FD"/>
    <w:rsid w:val="003825D6"/>
    <w:rsid w:val="0038490D"/>
    <w:rsid w:val="00384E35"/>
    <w:rsid w:val="00384FCE"/>
    <w:rsid w:val="003853BF"/>
    <w:rsid w:val="00390748"/>
    <w:rsid w:val="00391302"/>
    <w:rsid w:val="00391907"/>
    <w:rsid w:val="00392B8F"/>
    <w:rsid w:val="00393750"/>
    <w:rsid w:val="00393C66"/>
    <w:rsid w:val="00395597"/>
    <w:rsid w:val="003959E2"/>
    <w:rsid w:val="00395F15"/>
    <w:rsid w:val="0039737E"/>
    <w:rsid w:val="003A0243"/>
    <w:rsid w:val="003A0505"/>
    <w:rsid w:val="003A1420"/>
    <w:rsid w:val="003A1E0F"/>
    <w:rsid w:val="003A3029"/>
    <w:rsid w:val="003A3A95"/>
    <w:rsid w:val="003A47F0"/>
    <w:rsid w:val="003A4935"/>
    <w:rsid w:val="003A6EA2"/>
    <w:rsid w:val="003A7EF1"/>
    <w:rsid w:val="003B0273"/>
    <w:rsid w:val="003B034D"/>
    <w:rsid w:val="003B03B7"/>
    <w:rsid w:val="003B0E79"/>
    <w:rsid w:val="003B15D4"/>
    <w:rsid w:val="003B3664"/>
    <w:rsid w:val="003B3F02"/>
    <w:rsid w:val="003B5F54"/>
    <w:rsid w:val="003B7734"/>
    <w:rsid w:val="003C1ADA"/>
    <w:rsid w:val="003C1C5A"/>
    <w:rsid w:val="003C25A8"/>
    <w:rsid w:val="003C2B85"/>
    <w:rsid w:val="003C3417"/>
    <w:rsid w:val="003C3A26"/>
    <w:rsid w:val="003C55A9"/>
    <w:rsid w:val="003C5945"/>
    <w:rsid w:val="003C7C94"/>
    <w:rsid w:val="003D077E"/>
    <w:rsid w:val="003D0EC0"/>
    <w:rsid w:val="003D10BD"/>
    <w:rsid w:val="003D11C5"/>
    <w:rsid w:val="003D1902"/>
    <w:rsid w:val="003D1DE4"/>
    <w:rsid w:val="003D2F49"/>
    <w:rsid w:val="003D3039"/>
    <w:rsid w:val="003D55E8"/>
    <w:rsid w:val="003D5A5B"/>
    <w:rsid w:val="003D6379"/>
    <w:rsid w:val="003D74FD"/>
    <w:rsid w:val="003D77EE"/>
    <w:rsid w:val="003E18C8"/>
    <w:rsid w:val="003E1ED7"/>
    <w:rsid w:val="003E1F83"/>
    <w:rsid w:val="003E291A"/>
    <w:rsid w:val="003E406D"/>
    <w:rsid w:val="003E556C"/>
    <w:rsid w:val="003E7143"/>
    <w:rsid w:val="003E72ED"/>
    <w:rsid w:val="003E7FDE"/>
    <w:rsid w:val="003F1711"/>
    <w:rsid w:val="003F2C6F"/>
    <w:rsid w:val="003F36C4"/>
    <w:rsid w:val="003F4483"/>
    <w:rsid w:val="003F522C"/>
    <w:rsid w:val="003F62DE"/>
    <w:rsid w:val="003F7E87"/>
    <w:rsid w:val="004018B1"/>
    <w:rsid w:val="004019F3"/>
    <w:rsid w:val="0040222A"/>
    <w:rsid w:val="00403E09"/>
    <w:rsid w:val="00404487"/>
    <w:rsid w:val="0040623D"/>
    <w:rsid w:val="00407486"/>
    <w:rsid w:val="00407542"/>
    <w:rsid w:val="00410B6C"/>
    <w:rsid w:val="004120D8"/>
    <w:rsid w:val="00412656"/>
    <w:rsid w:val="00413A86"/>
    <w:rsid w:val="00413EF3"/>
    <w:rsid w:val="004142C1"/>
    <w:rsid w:val="00414C35"/>
    <w:rsid w:val="004169EA"/>
    <w:rsid w:val="0041751C"/>
    <w:rsid w:val="00420B11"/>
    <w:rsid w:val="00420F2F"/>
    <w:rsid w:val="00421506"/>
    <w:rsid w:val="00421623"/>
    <w:rsid w:val="00422EF9"/>
    <w:rsid w:val="00424174"/>
    <w:rsid w:val="0042488E"/>
    <w:rsid w:val="0042530F"/>
    <w:rsid w:val="00425FFA"/>
    <w:rsid w:val="00426D89"/>
    <w:rsid w:val="00427216"/>
    <w:rsid w:val="00427E46"/>
    <w:rsid w:val="0043132C"/>
    <w:rsid w:val="004317E5"/>
    <w:rsid w:val="00433112"/>
    <w:rsid w:val="0043324F"/>
    <w:rsid w:val="00433562"/>
    <w:rsid w:val="0043369D"/>
    <w:rsid w:val="00433921"/>
    <w:rsid w:val="004347AB"/>
    <w:rsid w:val="004360FE"/>
    <w:rsid w:val="00436E8F"/>
    <w:rsid w:val="0044001D"/>
    <w:rsid w:val="00440871"/>
    <w:rsid w:val="00441C59"/>
    <w:rsid w:val="0044276B"/>
    <w:rsid w:val="00444001"/>
    <w:rsid w:val="00444518"/>
    <w:rsid w:val="00444CB8"/>
    <w:rsid w:val="00451714"/>
    <w:rsid w:val="00451E5E"/>
    <w:rsid w:val="004530BC"/>
    <w:rsid w:val="00453E1B"/>
    <w:rsid w:val="0045412C"/>
    <w:rsid w:val="00456D9D"/>
    <w:rsid w:val="004572E3"/>
    <w:rsid w:val="0046002A"/>
    <w:rsid w:val="0046027E"/>
    <w:rsid w:val="00461501"/>
    <w:rsid w:val="0046202E"/>
    <w:rsid w:val="0046242E"/>
    <w:rsid w:val="00466625"/>
    <w:rsid w:val="004669BA"/>
    <w:rsid w:val="00470852"/>
    <w:rsid w:val="00470DFA"/>
    <w:rsid w:val="00470F99"/>
    <w:rsid w:val="004710B0"/>
    <w:rsid w:val="004721B1"/>
    <w:rsid w:val="00472450"/>
    <w:rsid w:val="004741D7"/>
    <w:rsid w:val="00474F50"/>
    <w:rsid w:val="00475E16"/>
    <w:rsid w:val="0047767B"/>
    <w:rsid w:val="00480E79"/>
    <w:rsid w:val="0048194D"/>
    <w:rsid w:val="0048549A"/>
    <w:rsid w:val="00485A21"/>
    <w:rsid w:val="00486638"/>
    <w:rsid w:val="004873CC"/>
    <w:rsid w:val="00493115"/>
    <w:rsid w:val="004931BC"/>
    <w:rsid w:val="00493415"/>
    <w:rsid w:val="00494564"/>
    <w:rsid w:val="004A0178"/>
    <w:rsid w:val="004A04A4"/>
    <w:rsid w:val="004A06BB"/>
    <w:rsid w:val="004A0BC8"/>
    <w:rsid w:val="004A0CF0"/>
    <w:rsid w:val="004A0EBE"/>
    <w:rsid w:val="004A245C"/>
    <w:rsid w:val="004A3135"/>
    <w:rsid w:val="004A4F13"/>
    <w:rsid w:val="004A72D3"/>
    <w:rsid w:val="004A74CF"/>
    <w:rsid w:val="004A76D3"/>
    <w:rsid w:val="004A7C83"/>
    <w:rsid w:val="004A7D98"/>
    <w:rsid w:val="004B095B"/>
    <w:rsid w:val="004B11AF"/>
    <w:rsid w:val="004B3ED4"/>
    <w:rsid w:val="004B430C"/>
    <w:rsid w:val="004B43EB"/>
    <w:rsid w:val="004B578B"/>
    <w:rsid w:val="004B5952"/>
    <w:rsid w:val="004B6A0C"/>
    <w:rsid w:val="004B6DAF"/>
    <w:rsid w:val="004B716B"/>
    <w:rsid w:val="004B73EB"/>
    <w:rsid w:val="004C07AB"/>
    <w:rsid w:val="004C0DEE"/>
    <w:rsid w:val="004C1C5F"/>
    <w:rsid w:val="004C2CD8"/>
    <w:rsid w:val="004C3CF2"/>
    <w:rsid w:val="004C6191"/>
    <w:rsid w:val="004C6D99"/>
    <w:rsid w:val="004C7620"/>
    <w:rsid w:val="004D0571"/>
    <w:rsid w:val="004D0C4E"/>
    <w:rsid w:val="004D1E3E"/>
    <w:rsid w:val="004D306E"/>
    <w:rsid w:val="004D36E2"/>
    <w:rsid w:val="004D4E4A"/>
    <w:rsid w:val="004D4F85"/>
    <w:rsid w:val="004D5860"/>
    <w:rsid w:val="004D64AF"/>
    <w:rsid w:val="004D65D4"/>
    <w:rsid w:val="004D6756"/>
    <w:rsid w:val="004D73D7"/>
    <w:rsid w:val="004E0450"/>
    <w:rsid w:val="004E1B8E"/>
    <w:rsid w:val="004E2D9B"/>
    <w:rsid w:val="004E324E"/>
    <w:rsid w:val="004E3C8B"/>
    <w:rsid w:val="004E4A9D"/>
    <w:rsid w:val="004E5311"/>
    <w:rsid w:val="004E5D13"/>
    <w:rsid w:val="004E5DBA"/>
    <w:rsid w:val="004E605D"/>
    <w:rsid w:val="004E6569"/>
    <w:rsid w:val="004E7147"/>
    <w:rsid w:val="004E7D8F"/>
    <w:rsid w:val="004F03C4"/>
    <w:rsid w:val="004F10C6"/>
    <w:rsid w:val="004F1D08"/>
    <w:rsid w:val="004F25CF"/>
    <w:rsid w:val="004F2776"/>
    <w:rsid w:val="004F30FC"/>
    <w:rsid w:val="004F3140"/>
    <w:rsid w:val="004F3FE6"/>
    <w:rsid w:val="004F7D71"/>
    <w:rsid w:val="004F7DC1"/>
    <w:rsid w:val="00502CA1"/>
    <w:rsid w:val="0050508E"/>
    <w:rsid w:val="00505E28"/>
    <w:rsid w:val="005109F2"/>
    <w:rsid w:val="00510D69"/>
    <w:rsid w:val="005110D8"/>
    <w:rsid w:val="00511275"/>
    <w:rsid w:val="00511B01"/>
    <w:rsid w:val="00512258"/>
    <w:rsid w:val="005127EF"/>
    <w:rsid w:val="00512E12"/>
    <w:rsid w:val="00513F41"/>
    <w:rsid w:val="00514249"/>
    <w:rsid w:val="00514C87"/>
    <w:rsid w:val="00515208"/>
    <w:rsid w:val="00515350"/>
    <w:rsid w:val="00515500"/>
    <w:rsid w:val="00515618"/>
    <w:rsid w:val="005157AB"/>
    <w:rsid w:val="005159A7"/>
    <w:rsid w:val="0051666C"/>
    <w:rsid w:val="00516A5C"/>
    <w:rsid w:val="0051778C"/>
    <w:rsid w:val="00520BAB"/>
    <w:rsid w:val="00520EA0"/>
    <w:rsid w:val="00523D19"/>
    <w:rsid w:val="0052549C"/>
    <w:rsid w:val="00525C82"/>
    <w:rsid w:val="00525CA7"/>
    <w:rsid w:val="005268AA"/>
    <w:rsid w:val="00527063"/>
    <w:rsid w:val="00527C83"/>
    <w:rsid w:val="0053052A"/>
    <w:rsid w:val="00530DDE"/>
    <w:rsid w:val="00532B0A"/>
    <w:rsid w:val="005332CA"/>
    <w:rsid w:val="0053343B"/>
    <w:rsid w:val="00533905"/>
    <w:rsid w:val="00533BBA"/>
    <w:rsid w:val="00533C10"/>
    <w:rsid w:val="00533EF3"/>
    <w:rsid w:val="005364FF"/>
    <w:rsid w:val="00537544"/>
    <w:rsid w:val="00537B8A"/>
    <w:rsid w:val="005409E2"/>
    <w:rsid w:val="0054258C"/>
    <w:rsid w:val="00543D89"/>
    <w:rsid w:val="00544574"/>
    <w:rsid w:val="00544A82"/>
    <w:rsid w:val="00545088"/>
    <w:rsid w:val="005457EC"/>
    <w:rsid w:val="0054590D"/>
    <w:rsid w:val="005463C7"/>
    <w:rsid w:val="00546995"/>
    <w:rsid w:val="00546C9A"/>
    <w:rsid w:val="00547B12"/>
    <w:rsid w:val="00550259"/>
    <w:rsid w:val="00550E94"/>
    <w:rsid w:val="005549B2"/>
    <w:rsid w:val="005559A2"/>
    <w:rsid w:val="00556575"/>
    <w:rsid w:val="00556E56"/>
    <w:rsid w:val="00556EFE"/>
    <w:rsid w:val="005574B7"/>
    <w:rsid w:val="005578F9"/>
    <w:rsid w:val="00557B0B"/>
    <w:rsid w:val="005600AE"/>
    <w:rsid w:val="00561956"/>
    <w:rsid w:val="005639ED"/>
    <w:rsid w:val="00564BA1"/>
    <w:rsid w:val="00566B98"/>
    <w:rsid w:val="0057046A"/>
    <w:rsid w:val="00570499"/>
    <w:rsid w:val="0057148A"/>
    <w:rsid w:val="005730D7"/>
    <w:rsid w:val="005731E3"/>
    <w:rsid w:val="0057445D"/>
    <w:rsid w:val="00575CE3"/>
    <w:rsid w:val="00581568"/>
    <w:rsid w:val="0058248F"/>
    <w:rsid w:val="0058260F"/>
    <w:rsid w:val="00584345"/>
    <w:rsid w:val="0058452F"/>
    <w:rsid w:val="00586120"/>
    <w:rsid w:val="00587AFE"/>
    <w:rsid w:val="00587C5E"/>
    <w:rsid w:val="00587E76"/>
    <w:rsid w:val="00591D6A"/>
    <w:rsid w:val="005928EB"/>
    <w:rsid w:val="00592B9C"/>
    <w:rsid w:val="0059356D"/>
    <w:rsid w:val="00593FAB"/>
    <w:rsid w:val="00594350"/>
    <w:rsid w:val="005945E8"/>
    <w:rsid w:val="0059466E"/>
    <w:rsid w:val="00595C57"/>
    <w:rsid w:val="00595CDA"/>
    <w:rsid w:val="0059707A"/>
    <w:rsid w:val="005A0817"/>
    <w:rsid w:val="005A10EE"/>
    <w:rsid w:val="005A2568"/>
    <w:rsid w:val="005A301F"/>
    <w:rsid w:val="005A3F2B"/>
    <w:rsid w:val="005A54F2"/>
    <w:rsid w:val="005A5989"/>
    <w:rsid w:val="005A6454"/>
    <w:rsid w:val="005A787B"/>
    <w:rsid w:val="005B047B"/>
    <w:rsid w:val="005B15EC"/>
    <w:rsid w:val="005B16F7"/>
    <w:rsid w:val="005B1E56"/>
    <w:rsid w:val="005B25A8"/>
    <w:rsid w:val="005B4840"/>
    <w:rsid w:val="005B5BF4"/>
    <w:rsid w:val="005B6F3F"/>
    <w:rsid w:val="005B75D1"/>
    <w:rsid w:val="005C11EC"/>
    <w:rsid w:val="005C2082"/>
    <w:rsid w:val="005C2E4B"/>
    <w:rsid w:val="005C390B"/>
    <w:rsid w:val="005C400B"/>
    <w:rsid w:val="005C415C"/>
    <w:rsid w:val="005C639E"/>
    <w:rsid w:val="005C6709"/>
    <w:rsid w:val="005D0271"/>
    <w:rsid w:val="005D0873"/>
    <w:rsid w:val="005D0C75"/>
    <w:rsid w:val="005D0E99"/>
    <w:rsid w:val="005D1AB5"/>
    <w:rsid w:val="005D2C24"/>
    <w:rsid w:val="005D2F16"/>
    <w:rsid w:val="005D3DDA"/>
    <w:rsid w:val="005D408E"/>
    <w:rsid w:val="005D67DB"/>
    <w:rsid w:val="005E07BE"/>
    <w:rsid w:val="005E1F3A"/>
    <w:rsid w:val="005E2D2C"/>
    <w:rsid w:val="005E33A3"/>
    <w:rsid w:val="005E4141"/>
    <w:rsid w:val="005E43CD"/>
    <w:rsid w:val="005E6248"/>
    <w:rsid w:val="005E6E5E"/>
    <w:rsid w:val="005E7CA9"/>
    <w:rsid w:val="005F2563"/>
    <w:rsid w:val="005F2DB2"/>
    <w:rsid w:val="005F312B"/>
    <w:rsid w:val="005F318C"/>
    <w:rsid w:val="005F4DDF"/>
    <w:rsid w:val="005F5BB1"/>
    <w:rsid w:val="005F6D73"/>
    <w:rsid w:val="00600A40"/>
    <w:rsid w:val="0060222D"/>
    <w:rsid w:val="006024CF"/>
    <w:rsid w:val="0060320F"/>
    <w:rsid w:val="00603219"/>
    <w:rsid w:val="00603624"/>
    <w:rsid w:val="00604CE0"/>
    <w:rsid w:val="006055FA"/>
    <w:rsid w:val="00606EEA"/>
    <w:rsid w:val="00607585"/>
    <w:rsid w:val="00607EEF"/>
    <w:rsid w:val="00607F95"/>
    <w:rsid w:val="00611A2A"/>
    <w:rsid w:val="00614D42"/>
    <w:rsid w:val="00615EC3"/>
    <w:rsid w:val="00616A68"/>
    <w:rsid w:val="00617373"/>
    <w:rsid w:val="00617447"/>
    <w:rsid w:val="0062167B"/>
    <w:rsid w:val="00622105"/>
    <w:rsid w:val="006228D0"/>
    <w:rsid w:val="00622B83"/>
    <w:rsid w:val="00625019"/>
    <w:rsid w:val="00625834"/>
    <w:rsid w:val="00625A8C"/>
    <w:rsid w:val="00625CF2"/>
    <w:rsid w:val="00625F6C"/>
    <w:rsid w:val="0062719D"/>
    <w:rsid w:val="00627D8B"/>
    <w:rsid w:val="00627FEF"/>
    <w:rsid w:val="006308FD"/>
    <w:rsid w:val="00631402"/>
    <w:rsid w:val="00631407"/>
    <w:rsid w:val="00632239"/>
    <w:rsid w:val="00632665"/>
    <w:rsid w:val="00632FEB"/>
    <w:rsid w:val="006336E3"/>
    <w:rsid w:val="00634262"/>
    <w:rsid w:val="00636215"/>
    <w:rsid w:val="00636C03"/>
    <w:rsid w:val="00636C2B"/>
    <w:rsid w:val="006374E1"/>
    <w:rsid w:val="00637878"/>
    <w:rsid w:val="00637E00"/>
    <w:rsid w:val="006403AA"/>
    <w:rsid w:val="006415E6"/>
    <w:rsid w:val="006418CD"/>
    <w:rsid w:val="00645962"/>
    <w:rsid w:val="00650185"/>
    <w:rsid w:val="00650CE1"/>
    <w:rsid w:val="00651F41"/>
    <w:rsid w:val="00652278"/>
    <w:rsid w:val="006528F2"/>
    <w:rsid w:val="00653200"/>
    <w:rsid w:val="00653B27"/>
    <w:rsid w:val="006547DA"/>
    <w:rsid w:val="00654B92"/>
    <w:rsid w:val="00654FEF"/>
    <w:rsid w:val="00655330"/>
    <w:rsid w:val="00655916"/>
    <w:rsid w:val="00655DBE"/>
    <w:rsid w:val="00657052"/>
    <w:rsid w:val="00657159"/>
    <w:rsid w:val="0065794E"/>
    <w:rsid w:val="00660770"/>
    <w:rsid w:val="00661033"/>
    <w:rsid w:val="00663075"/>
    <w:rsid w:val="00665D43"/>
    <w:rsid w:val="00666E9C"/>
    <w:rsid w:val="006673F3"/>
    <w:rsid w:val="0067005F"/>
    <w:rsid w:val="006704E7"/>
    <w:rsid w:val="00670546"/>
    <w:rsid w:val="00671A95"/>
    <w:rsid w:val="0067439B"/>
    <w:rsid w:val="00674415"/>
    <w:rsid w:val="00675CFF"/>
    <w:rsid w:val="006829E8"/>
    <w:rsid w:val="006830D6"/>
    <w:rsid w:val="00683DB6"/>
    <w:rsid w:val="00685148"/>
    <w:rsid w:val="0068678D"/>
    <w:rsid w:val="0069141B"/>
    <w:rsid w:val="00692F51"/>
    <w:rsid w:val="00693254"/>
    <w:rsid w:val="00693E7B"/>
    <w:rsid w:val="00694A68"/>
    <w:rsid w:val="00695AE8"/>
    <w:rsid w:val="00695BC5"/>
    <w:rsid w:val="00696CB2"/>
    <w:rsid w:val="006A023D"/>
    <w:rsid w:val="006A0431"/>
    <w:rsid w:val="006A0769"/>
    <w:rsid w:val="006A0BC1"/>
    <w:rsid w:val="006A0CAA"/>
    <w:rsid w:val="006A132A"/>
    <w:rsid w:val="006A190D"/>
    <w:rsid w:val="006A1FD3"/>
    <w:rsid w:val="006A2015"/>
    <w:rsid w:val="006A2D23"/>
    <w:rsid w:val="006A3C5E"/>
    <w:rsid w:val="006A430A"/>
    <w:rsid w:val="006A49F6"/>
    <w:rsid w:val="006A52C6"/>
    <w:rsid w:val="006A57F2"/>
    <w:rsid w:val="006A6A6C"/>
    <w:rsid w:val="006A74FF"/>
    <w:rsid w:val="006A78A0"/>
    <w:rsid w:val="006B1F60"/>
    <w:rsid w:val="006B28E7"/>
    <w:rsid w:val="006B31D9"/>
    <w:rsid w:val="006B31DB"/>
    <w:rsid w:val="006B443D"/>
    <w:rsid w:val="006B62F0"/>
    <w:rsid w:val="006B7DF1"/>
    <w:rsid w:val="006C0B6E"/>
    <w:rsid w:val="006C17A9"/>
    <w:rsid w:val="006C1B62"/>
    <w:rsid w:val="006C1CD3"/>
    <w:rsid w:val="006C1E11"/>
    <w:rsid w:val="006C2190"/>
    <w:rsid w:val="006C2E98"/>
    <w:rsid w:val="006C2F88"/>
    <w:rsid w:val="006C4BEE"/>
    <w:rsid w:val="006C515C"/>
    <w:rsid w:val="006C520A"/>
    <w:rsid w:val="006C5228"/>
    <w:rsid w:val="006C6440"/>
    <w:rsid w:val="006C73E6"/>
    <w:rsid w:val="006D01F2"/>
    <w:rsid w:val="006D0A34"/>
    <w:rsid w:val="006D16BA"/>
    <w:rsid w:val="006D2D17"/>
    <w:rsid w:val="006D3123"/>
    <w:rsid w:val="006D6270"/>
    <w:rsid w:val="006D65AC"/>
    <w:rsid w:val="006D7556"/>
    <w:rsid w:val="006E0990"/>
    <w:rsid w:val="006E13CC"/>
    <w:rsid w:val="006E2958"/>
    <w:rsid w:val="006E3F6D"/>
    <w:rsid w:val="006E51DF"/>
    <w:rsid w:val="006E63A5"/>
    <w:rsid w:val="006E66FF"/>
    <w:rsid w:val="006E6A33"/>
    <w:rsid w:val="006F2CBC"/>
    <w:rsid w:val="006F31AD"/>
    <w:rsid w:val="006F35DB"/>
    <w:rsid w:val="006F4011"/>
    <w:rsid w:val="006F4591"/>
    <w:rsid w:val="006F5746"/>
    <w:rsid w:val="006F615B"/>
    <w:rsid w:val="006F6246"/>
    <w:rsid w:val="006F69CF"/>
    <w:rsid w:val="006F72C1"/>
    <w:rsid w:val="006F74B3"/>
    <w:rsid w:val="00701EE3"/>
    <w:rsid w:val="007028F0"/>
    <w:rsid w:val="007037DB"/>
    <w:rsid w:val="00704236"/>
    <w:rsid w:val="00706799"/>
    <w:rsid w:val="00711F71"/>
    <w:rsid w:val="007123B7"/>
    <w:rsid w:val="007131F3"/>
    <w:rsid w:val="007167E8"/>
    <w:rsid w:val="00717A3B"/>
    <w:rsid w:val="007223DD"/>
    <w:rsid w:val="00722879"/>
    <w:rsid w:val="007243AC"/>
    <w:rsid w:val="00725FA0"/>
    <w:rsid w:val="00726099"/>
    <w:rsid w:val="00726297"/>
    <w:rsid w:val="007266D4"/>
    <w:rsid w:val="00726DEA"/>
    <w:rsid w:val="00727783"/>
    <w:rsid w:val="007278AB"/>
    <w:rsid w:val="00727EB8"/>
    <w:rsid w:val="0073057F"/>
    <w:rsid w:val="0073073A"/>
    <w:rsid w:val="00730884"/>
    <w:rsid w:val="007317B8"/>
    <w:rsid w:val="007329A8"/>
    <w:rsid w:val="00732AEA"/>
    <w:rsid w:val="00732B6B"/>
    <w:rsid w:val="00732F7C"/>
    <w:rsid w:val="0073319C"/>
    <w:rsid w:val="007341BB"/>
    <w:rsid w:val="00735245"/>
    <w:rsid w:val="0073557E"/>
    <w:rsid w:val="0073574D"/>
    <w:rsid w:val="00736242"/>
    <w:rsid w:val="007364D8"/>
    <w:rsid w:val="00736EA9"/>
    <w:rsid w:val="00736F17"/>
    <w:rsid w:val="007372FB"/>
    <w:rsid w:val="0073751F"/>
    <w:rsid w:val="00737D01"/>
    <w:rsid w:val="00740068"/>
    <w:rsid w:val="007400EF"/>
    <w:rsid w:val="00740247"/>
    <w:rsid w:val="00740F5C"/>
    <w:rsid w:val="00741B94"/>
    <w:rsid w:val="00741E3D"/>
    <w:rsid w:val="00742824"/>
    <w:rsid w:val="00742E1A"/>
    <w:rsid w:val="007465D4"/>
    <w:rsid w:val="007477EA"/>
    <w:rsid w:val="0075085C"/>
    <w:rsid w:val="00750B28"/>
    <w:rsid w:val="00750D98"/>
    <w:rsid w:val="00750DA8"/>
    <w:rsid w:val="00751443"/>
    <w:rsid w:val="007519CD"/>
    <w:rsid w:val="00751E51"/>
    <w:rsid w:val="007535C6"/>
    <w:rsid w:val="0075402D"/>
    <w:rsid w:val="007541F4"/>
    <w:rsid w:val="0075616E"/>
    <w:rsid w:val="0075700D"/>
    <w:rsid w:val="00761506"/>
    <w:rsid w:val="00761727"/>
    <w:rsid w:val="00761CC5"/>
    <w:rsid w:val="00762234"/>
    <w:rsid w:val="00762E90"/>
    <w:rsid w:val="00762EC6"/>
    <w:rsid w:val="007630CE"/>
    <w:rsid w:val="007637C0"/>
    <w:rsid w:val="00763F3A"/>
    <w:rsid w:val="00764B00"/>
    <w:rsid w:val="00765352"/>
    <w:rsid w:val="00767532"/>
    <w:rsid w:val="0077209B"/>
    <w:rsid w:val="007736BD"/>
    <w:rsid w:val="00773B29"/>
    <w:rsid w:val="00773C74"/>
    <w:rsid w:val="0077533C"/>
    <w:rsid w:val="00775BF9"/>
    <w:rsid w:val="00777248"/>
    <w:rsid w:val="00777468"/>
    <w:rsid w:val="00777BD8"/>
    <w:rsid w:val="00777D4C"/>
    <w:rsid w:val="007805B1"/>
    <w:rsid w:val="00780EC0"/>
    <w:rsid w:val="007817AC"/>
    <w:rsid w:val="00783AE1"/>
    <w:rsid w:val="0078440E"/>
    <w:rsid w:val="00784981"/>
    <w:rsid w:val="007867CC"/>
    <w:rsid w:val="00786B94"/>
    <w:rsid w:val="00786EFA"/>
    <w:rsid w:val="0078779E"/>
    <w:rsid w:val="007910D9"/>
    <w:rsid w:val="007912E8"/>
    <w:rsid w:val="0079172E"/>
    <w:rsid w:val="00793377"/>
    <w:rsid w:val="007935B0"/>
    <w:rsid w:val="007935D5"/>
    <w:rsid w:val="0079362A"/>
    <w:rsid w:val="00793653"/>
    <w:rsid w:val="007943F1"/>
    <w:rsid w:val="00797084"/>
    <w:rsid w:val="00797FB1"/>
    <w:rsid w:val="007A03E6"/>
    <w:rsid w:val="007A0B5F"/>
    <w:rsid w:val="007A10B5"/>
    <w:rsid w:val="007A1EE3"/>
    <w:rsid w:val="007A2047"/>
    <w:rsid w:val="007A2891"/>
    <w:rsid w:val="007A330B"/>
    <w:rsid w:val="007A3608"/>
    <w:rsid w:val="007A4A65"/>
    <w:rsid w:val="007A4B67"/>
    <w:rsid w:val="007A6950"/>
    <w:rsid w:val="007A6A78"/>
    <w:rsid w:val="007A70CF"/>
    <w:rsid w:val="007A75AE"/>
    <w:rsid w:val="007A7909"/>
    <w:rsid w:val="007B10ED"/>
    <w:rsid w:val="007B2E30"/>
    <w:rsid w:val="007B3D8E"/>
    <w:rsid w:val="007B3E71"/>
    <w:rsid w:val="007B47FC"/>
    <w:rsid w:val="007B5370"/>
    <w:rsid w:val="007B585E"/>
    <w:rsid w:val="007B59C8"/>
    <w:rsid w:val="007B6047"/>
    <w:rsid w:val="007B6B86"/>
    <w:rsid w:val="007B768C"/>
    <w:rsid w:val="007C15D3"/>
    <w:rsid w:val="007C4630"/>
    <w:rsid w:val="007C6BC9"/>
    <w:rsid w:val="007C6FC5"/>
    <w:rsid w:val="007D0668"/>
    <w:rsid w:val="007D419D"/>
    <w:rsid w:val="007D4306"/>
    <w:rsid w:val="007D4C48"/>
    <w:rsid w:val="007D6F27"/>
    <w:rsid w:val="007D6F35"/>
    <w:rsid w:val="007E0E5C"/>
    <w:rsid w:val="007E0E94"/>
    <w:rsid w:val="007E1E35"/>
    <w:rsid w:val="007E241C"/>
    <w:rsid w:val="007E287C"/>
    <w:rsid w:val="007E497D"/>
    <w:rsid w:val="007E4A5F"/>
    <w:rsid w:val="007E51A7"/>
    <w:rsid w:val="007E54AA"/>
    <w:rsid w:val="007E67C8"/>
    <w:rsid w:val="007E6909"/>
    <w:rsid w:val="007F04A3"/>
    <w:rsid w:val="007F05B6"/>
    <w:rsid w:val="007F125E"/>
    <w:rsid w:val="007F236A"/>
    <w:rsid w:val="007F3021"/>
    <w:rsid w:val="007F4392"/>
    <w:rsid w:val="007F561F"/>
    <w:rsid w:val="007F7987"/>
    <w:rsid w:val="00800575"/>
    <w:rsid w:val="00800BBE"/>
    <w:rsid w:val="00801506"/>
    <w:rsid w:val="00802D3D"/>
    <w:rsid w:val="00803602"/>
    <w:rsid w:val="0080448A"/>
    <w:rsid w:val="00804C22"/>
    <w:rsid w:val="00805357"/>
    <w:rsid w:val="008059B2"/>
    <w:rsid w:val="00805C93"/>
    <w:rsid w:val="00806801"/>
    <w:rsid w:val="00806BF7"/>
    <w:rsid w:val="00811055"/>
    <w:rsid w:val="008121C6"/>
    <w:rsid w:val="00812708"/>
    <w:rsid w:val="0081326C"/>
    <w:rsid w:val="00815B06"/>
    <w:rsid w:val="00820E21"/>
    <w:rsid w:val="00820EF3"/>
    <w:rsid w:val="00821D69"/>
    <w:rsid w:val="008221AE"/>
    <w:rsid w:val="008273D7"/>
    <w:rsid w:val="00827A9B"/>
    <w:rsid w:val="008307A2"/>
    <w:rsid w:val="008336D2"/>
    <w:rsid w:val="0083555F"/>
    <w:rsid w:val="008402EF"/>
    <w:rsid w:val="00840597"/>
    <w:rsid w:val="008407A5"/>
    <w:rsid w:val="00842138"/>
    <w:rsid w:val="00842139"/>
    <w:rsid w:val="0084476B"/>
    <w:rsid w:val="008462ED"/>
    <w:rsid w:val="00846785"/>
    <w:rsid w:val="00847364"/>
    <w:rsid w:val="0085082E"/>
    <w:rsid w:val="00850957"/>
    <w:rsid w:val="00850C0E"/>
    <w:rsid w:val="00850E1F"/>
    <w:rsid w:val="00851139"/>
    <w:rsid w:val="00851172"/>
    <w:rsid w:val="00852488"/>
    <w:rsid w:val="00852894"/>
    <w:rsid w:val="008537FD"/>
    <w:rsid w:val="00855D80"/>
    <w:rsid w:val="00857F55"/>
    <w:rsid w:val="00860975"/>
    <w:rsid w:val="008612B1"/>
    <w:rsid w:val="00863142"/>
    <w:rsid w:val="00864DB5"/>
    <w:rsid w:val="0086674C"/>
    <w:rsid w:val="00866A3E"/>
    <w:rsid w:val="00866DE5"/>
    <w:rsid w:val="00870AB3"/>
    <w:rsid w:val="00870E91"/>
    <w:rsid w:val="00871343"/>
    <w:rsid w:val="00871542"/>
    <w:rsid w:val="00872451"/>
    <w:rsid w:val="00874614"/>
    <w:rsid w:val="00874F50"/>
    <w:rsid w:val="008750F7"/>
    <w:rsid w:val="0087655B"/>
    <w:rsid w:val="00877085"/>
    <w:rsid w:val="00880D98"/>
    <w:rsid w:val="008834DF"/>
    <w:rsid w:val="008847D1"/>
    <w:rsid w:val="00884CA7"/>
    <w:rsid w:val="00885A93"/>
    <w:rsid w:val="00885B66"/>
    <w:rsid w:val="00885F0E"/>
    <w:rsid w:val="008863E8"/>
    <w:rsid w:val="00887CAC"/>
    <w:rsid w:val="00887F8D"/>
    <w:rsid w:val="00890A97"/>
    <w:rsid w:val="00892759"/>
    <w:rsid w:val="008927E1"/>
    <w:rsid w:val="00893357"/>
    <w:rsid w:val="00895765"/>
    <w:rsid w:val="00895933"/>
    <w:rsid w:val="00895E19"/>
    <w:rsid w:val="00895EC7"/>
    <w:rsid w:val="00896AF6"/>
    <w:rsid w:val="00896F19"/>
    <w:rsid w:val="00897824"/>
    <w:rsid w:val="008A35C1"/>
    <w:rsid w:val="008A3CD1"/>
    <w:rsid w:val="008A3EE8"/>
    <w:rsid w:val="008A50DB"/>
    <w:rsid w:val="008A595B"/>
    <w:rsid w:val="008A59E1"/>
    <w:rsid w:val="008A6684"/>
    <w:rsid w:val="008A713C"/>
    <w:rsid w:val="008B1BD0"/>
    <w:rsid w:val="008B21ED"/>
    <w:rsid w:val="008B3058"/>
    <w:rsid w:val="008B31F7"/>
    <w:rsid w:val="008B3AF4"/>
    <w:rsid w:val="008B475A"/>
    <w:rsid w:val="008B582B"/>
    <w:rsid w:val="008B63F1"/>
    <w:rsid w:val="008C1F8F"/>
    <w:rsid w:val="008C2252"/>
    <w:rsid w:val="008C2BDF"/>
    <w:rsid w:val="008C3A9D"/>
    <w:rsid w:val="008C4552"/>
    <w:rsid w:val="008C483A"/>
    <w:rsid w:val="008C56E1"/>
    <w:rsid w:val="008C5716"/>
    <w:rsid w:val="008C76C9"/>
    <w:rsid w:val="008D2852"/>
    <w:rsid w:val="008D4862"/>
    <w:rsid w:val="008D54D2"/>
    <w:rsid w:val="008D794E"/>
    <w:rsid w:val="008D79A1"/>
    <w:rsid w:val="008E25CA"/>
    <w:rsid w:val="008E27B3"/>
    <w:rsid w:val="008E3D94"/>
    <w:rsid w:val="008E3E7B"/>
    <w:rsid w:val="008E40EA"/>
    <w:rsid w:val="008E44EF"/>
    <w:rsid w:val="008E56A9"/>
    <w:rsid w:val="008E636C"/>
    <w:rsid w:val="008E6582"/>
    <w:rsid w:val="008E6FAF"/>
    <w:rsid w:val="008E73CB"/>
    <w:rsid w:val="008F0C74"/>
    <w:rsid w:val="008F378E"/>
    <w:rsid w:val="008F3B9F"/>
    <w:rsid w:val="008F4617"/>
    <w:rsid w:val="008F4BA7"/>
    <w:rsid w:val="009006D3"/>
    <w:rsid w:val="00900B14"/>
    <w:rsid w:val="00901AAF"/>
    <w:rsid w:val="00901B09"/>
    <w:rsid w:val="009030E2"/>
    <w:rsid w:val="009032EB"/>
    <w:rsid w:val="009052CE"/>
    <w:rsid w:val="009158B2"/>
    <w:rsid w:val="00915FC4"/>
    <w:rsid w:val="0091645B"/>
    <w:rsid w:val="00916BBD"/>
    <w:rsid w:val="00916EDD"/>
    <w:rsid w:val="00920EEA"/>
    <w:rsid w:val="00921728"/>
    <w:rsid w:val="00922299"/>
    <w:rsid w:val="00924E89"/>
    <w:rsid w:val="00925CDE"/>
    <w:rsid w:val="00925F96"/>
    <w:rsid w:val="00927EB3"/>
    <w:rsid w:val="00927FD3"/>
    <w:rsid w:val="009300F9"/>
    <w:rsid w:val="009301EC"/>
    <w:rsid w:val="00930637"/>
    <w:rsid w:val="009317D6"/>
    <w:rsid w:val="00931C73"/>
    <w:rsid w:val="00932F7D"/>
    <w:rsid w:val="0093457E"/>
    <w:rsid w:val="00934F0C"/>
    <w:rsid w:val="0094042F"/>
    <w:rsid w:val="009406E8"/>
    <w:rsid w:val="00940735"/>
    <w:rsid w:val="00940861"/>
    <w:rsid w:val="009413E2"/>
    <w:rsid w:val="009418F1"/>
    <w:rsid w:val="009428F4"/>
    <w:rsid w:val="00943DA0"/>
    <w:rsid w:val="00944129"/>
    <w:rsid w:val="009446C5"/>
    <w:rsid w:val="00945598"/>
    <w:rsid w:val="0094636C"/>
    <w:rsid w:val="0094689D"/>
    <w:rsid w:val="00946FC1"/>
    <w:rsid w:val="009526AB"/>
    <w:rsid w:val="00952F8C"/>
    <w:rsid w:val="00953FE9"/>
    <w:rsid w:val="00954CA0"/>
    <w:rsid w:val="009556C5"/>
    <w:rsid w:val="00956AB4"/>
    <w:rsid w:val="009608E2"/>
    <w:rsid w:val="0096105C"/>
    <w:rsid w:val="00961C61"/>
    <w:rsid w:val="009624B5"/>
    <w:rsid w:val="00962F7B"/>
    <w:rsid w:val="00963131"/>
    <w:rsid w:val="00965C4B"/>
    <w:rsid w:val="009660B7"/>
    <w:rsid w:val="009661D7"/>
    <w:rsid w:val="00966D04"/>
    <w:rsid w:val="009731A2"/>
    <w:rsid w:val="00973B1F"/>
    <w:rsid w:val="009769DD"/>
    <w:rsid w:val="00976E43"/>
    <w:rsid w:val="00977098"/>
    <w:rsid w:val="00980BE0"/>
    <w:rsid w:val="0098115C"/>
    <w:rsid w:val="009822C8"/>
    <w:rsid w:val="00983672"/>
    <w:rsid w:val="00983CB7"/>
    <w:rsid w:val="00984949"/>
    <w:rsid w:val="009849D7"/>
    <w:rsid w:val="00984B74"/>
    <w:rsid w:val="009858AA"/>
    <w:rsid w:val="0099169B"/>
    <w:rsid w:val="009917B8"/>
    <w:rsid w:val="00992760"/>
    <w:rsid w:val="00992A3C"/>
    <w:rsid w:val="00993D53"/>
    <w:rsid w:val="00994B78"/>
    <w:rsid w:val="00995000"/>
    <w:rsid w:val="00995981"/>
    <w:rsid w:val="00996A41"/>
    <w:rsid w:val="00996A7B"/>
    <w:rsid w:val="009975B8"/>
    <w:rsid w:val="009978FB"/>
    <w:rsid w:val="00997B01"/>
    <w:rsid w:val="009A05BD"/>
    <w:rsid w:val="009A085C"/>
    <w:rsid w:val="009A1158"/>
    <w:rsid w:val="009A123A"/>
    <w:rsid w:val="009A174E"/>
    <w:rsid w:val="009A1945"/>
    <w:rsid w:val="009A2374"/>
    <w:rsid w:val="009A3AFE"/>
    <w:rsid w:val="009A400E"/>
    <w:rsid w:val="009A5155"/>
    <w:rsid w:val="009A55F0"/>
    <w:rsid w:val="009A5EFE"/>
    <w:rsid w:val="009B06D8"/>
    <w:rsid w:val="009B25F9"/>
    <w:rsid w:val="009B26AD"/>
    <w:rsid w:val="009B3291"/>
    <w:rsid w:val="009B338D"/>
    <w:rsid w:val="009B3CC9"/>
    <w:rsid w:val="009B418C"/>
    <w:rsid w:val="009B44D5"/>
    <w:rsid w:val="009B4EF8"/>
    <w:rsid w:val="009B620F"/>
    <w:rsid w:val="009C0B1D"/>
    <w:rsid w:val="009C187F"/>
    <w:rsid w:val="009C1C73"/>
    <w:rsid w:val="009C3C56"/>
    <w:rsid w:val="009C454A"/>
    <w:rsid w:val="009C5286"/>
    <w:rsid w:val="009C5989"/>
    <w:rsid w:val="009C5E41"/>
    <w:rsid w:val="009C6CA2"/>
    <w:rsid w:val="009D0B08"/>
    <w:rsid w:val="009D10E1"/>
    <w:rsid w:val="009D1DA4"/>
    <w:rsid w:val="009D216B"/>
    <w:rsid w:val="009D25A7"/>
    <w:rsid w:val="009D450D"/>
    <w:rsid w:val="009D500C"/>
    <w:rsid w:val="009D5BB5"/>
    <w:rsid w:val="009D5FD4"/>
    <w:rsid w:val="009E1074"/>
    <w:rsid w:val="009E1A42"/>
    <w:rsid w:val="009E400D"/>
    <w:rsid w:val="009E4CE6"/>
    <w:rsid w:val="009E59CE"/>
    <w:rsid w:val="009E601E"/>
    <w:rsid w:val="009E6C11"/>
    <w:rsid w:val="009E6EFB"/>
    <w:rsid w:val="009F017C"/>
    <w:rsid w:val="009F0308"/>
    <w:rsid w:val="009F3122"/>
    <w:rsid w:val="009F4873"/>
    <w:rsid w:val="009F7781"/>
    <w:rsid w:val="00A002AE"/>
    <w:rsid w:val="00A01434"/>
    <w:rsid w:val="00A01A10"/>
    <w:rsid w:val="00A01DD0"/>
    <w:rsid w:val="00A04F8B"/>
    <w:rsid w:val="00A06854"/>
    <w:rsid w:val="00A07488"/>
    <w:rsid w:val="00A10DDE"/>
    <w:rsid w:val="00A121C1"/>
    <w:rsid w:val="00A1227E"/>
    <w:rsid w:val="00A124F9"/>
    <w:rsid w:val="00A14341"/>
    <w:rsid w:val="00A17449"/>
    <w:rsid w:val="00A17BD5"/>
    <w:rsid w:val="00A2108D"/>
    <w:rsid w:val="00A21DAE"/>
    <w:rsid w:val="00A22D3E"/>
    <w:rsid w:val="00A25F50"/>
    <w:rsid w:val="00A26C04"/>
    <w:rsid w:val="00A2775F"/>
    <w:rsid w:val="00A27C35"/>
    <w:rsid w:val="00A3217A"/>
    <w:rsid w:val="00A32B3D"/>
    <w:rsid w:val="00A33A96"/>
    <w:rsid w:val="00A35D18"/>
    <w:rsid w:val="00A37FA6"/>
    <w:rsid w:val="00A42237"/>
    <w:rsid w:val="00A448F8"/>
    <w:rsid w:val="00A46807"/>
    <w:rsid w:val="00A46DF1"/>
    <w:rsid w:val="00A5078A"/>
    <w:rsid w:val="00A50AB8"/>
    <w:rsid w:val="00A51A04"/>
    <w:rsid w:val="00A536ED"/>
    <w:rsid w:val="00A54BDC"/>
    <w:rsid w:val="00A54E8C"/>
    <w:rsid w:val="00A56186"/>
    <w:rsid w:val="00A5636F"/>
    <w:rsid w:val="00A56A6E"/>
    <w:rsid w:val="00A576CB"/>
    <w:rsid w:val="00A61537"/>
    <w:rsid w:val="00A624C2"/>
    <w:rsid w:val="00A63016"/>
    <w:rsid w:val="00A64C33"/>
    <w:rsid w:val="00A64C9E"/>
    <w:rsid w:val="00A65191"/>
    <w:rsid w:val="00A657CB"/>
    <w:rsid w:val="00A65907"/>
    <w:rsid w:val="00A66C79"/>
    <w:rsid w:val="00A66CAE"/>
    <w:rsid w:val="00A66E67"/>
    <w:rsid w:val="00A674DC"/>
    <w:rsid w:val="00A71196"/>
    <w:rsid w:val="00A72A2F"/>
    <w:rsid w:val="00A743EF"/>
    <w:rsid w:val="00A747C0"/>
    <w:rsid w:val="00A7498A"/>
    <w:rsid w:val="00A751D1"/>
    <w:rsid w:val="00A801A2"/>
    <w:rsid w:val="00A818F4"/>
    <w:rsid w:val="00A84113"/>
    <w:rsid w:val="00A871DC"/>
    <w:rsid w:val="00A9016C"/>
    <w:rsid w:val="00A910CB"/>
    <w:rsid w:val="00A91EA2"/>
    <w:rsid w:val="00A92884"/>
    <w:rsid w:val="00A943EA"/>
    <w:rsid w:val="00A94856"/>
    <w:rsid w:val="00A9704C"/>
    <w:rsid w:val="00A97450"/>
    <w:rsid w:val="00A9760C"/>
    <w:rsid w:val="00A97E7E"/>
    <w:rsid w:val="00AA167F"/>
    <w:rsid w:val="00AA1D19"/>
    <w:rsid w:val="00AA256C"/>
    <w:rsid w:val="00AA27EE"/>
    <w:rsid w:val="00AA4814"/>
    <w:rsid w:val="00AA689A"/>
    <w:rsid w:val="00AA6A1B"/>
    <w:rsid w:val="00AA6E55"/>
    <w:rsid w:val="00AA7077"/>
    <w:rsid w:val="00AB014D"/>
    <w:rsid w:val="00AB1B39"/>
    <w:rsid w:val="00AB2761"/>
    <w:rsid w:val="00AB3043"/>
    <w:rsid w:val="00AB4838"/>
    <w:rsid w:val="00AB494A"/>
    <w:rsid w:val="00AB4C25"/>
    <w:rsid w:val="00AC0289"/>
    <w:rsid w:val="00AC06A2"/>
    <w:rsid w:val="00AC1C9F"/>
    <w:rsid w:val="00AC1F2D"/>
    <w:rsid w:val="00AC2EFB"/>
    <w:rsid w:val="00AC358C"/>
    <w:rsid w:val="00AC5428"/>
    <w:rsid w:val="00AC6AD3"/>
    <w:rsid w:val="00AC7246"/>
    <w:rsid w:val="00AD0403"/>
    <w:rsid w:val="00AD0D74"/>
    <w:rsid w:val="00AD1FE0"/>
    <w:rsid w:val="00AD220E"/>
    <w:rsid w:val="00AD42B6"/>
    <w:rsid w:val="00AD5D44"/>
    <w:rsid w:val="00AD606A"/>
    <w:rsid w:val="00AD68F4"/>
    <w:rsid w:val="00AD6AC4"/>
    <w:rsid w:val="00AD71D1"/>
    <w:rsid w:val="00AD7ABA"/>
    <w:rsid w:val="00AD7AF0"/>
    <w:rsid w:val="00AE0554"/>
    <w:rsid w:val="00AE083A"/>
    <w:rsid w:val="00AE17DC"/>
    <w:rsid w:val="00AE182D"/>
    <w:rsid w:val="00AE18D6"/>
    <w:rsid w:val="00AE1E75"/>
    <w:rsid w:val="00AE1F36"/>
    <w:rsid w:val="00AE331F"/>
    <w:rsid w:val="00AE3897"/>
    <w:rsid w:val="00AE4D58"/>
    <w:rsid w:val="00AE56FF"/>
    <w:rsid w:val="00AE75D0"/>
    <w:rsid w:val="00AE7613"/>
    <w:rsid w:val="00AF054E"/>
    <w:rsid w:val="00AF0FDC"/>
    <w:rsid w:val="00AF102C"/>
    <w:rsid w:val="00AF204C"/>
    <w:rsid w:val="00AF22E0"/>
    <w:rsid w:val="00AF2DA0"/>
    <w:rsid w:val="00AF312A"/>
    <w:rsid w:val="00AF3639"/>
    <w:rsid w:val="00AF42CC"/>
    <w:rsid w:val="00AF449C"/>
    <w:rsid w:val="00AF4963"/>
    <w:rsid w:val="00AF5629"/>
    <w:rsid w:val="00AF6CED"/>
    <w:rsid w:val="00AF7BDC"/>
    <w:rsid w:val="00AF7D4C"/>
    <w:rsid w:val="00B015B1"/>
    <w:rsid w:val="00B02E02"/>
    <w:rsid w:val="00B04E2A"/>
    <w:rsid w:val="00B055B7"/>
    <w:rsid w:val="00B062A3"/>
    <w:rsid w:val="00B06363"/>
    <w:rsid w:val="00B1157E"/>
    <w:rsid w:val="00B126F3"/>
    <w:rsid w:val="00B13840"/>
    <w:rsid w:val="00B14EA1"/>
    <w:rsid w:val="00B157D0"/>
    <w:rsid w:val="00B1597A"/>
    <w:rsid w:val="00B202A5"/>
    <w:rsid w:val="00B21A7B"/>
    <w:rsid w:val="00B21E5C"/>
    <w:rsid w:val="00B22289"/>
    <w:rsid w:val="00B22BAF"/>
    <w:rsid w:val="00B22CCD"/>
    <w:rsid w:val="00B2403F"/>
    <w:rsid w:val="00B244BE"/>
    <w:rsid w:val="00B274B9"/>
    <w:rsid w:val="00B27A59"/>
    <w:rsid w:val="00B30AEC"/>
    <w:rsid w:val="00B30B65"/>
    <w:rsid w:val="00B30BCA"/>
    <w:rsid w:val="00B34DBA"/>
    <w:rsid w:val="00B352DD"/>
    <w:rsid w:val="00B361D5"/>
    <w:rsid w:val="00B3759B"/>
    <w:rsid w:val="00B4001C"/>
    <w:rsid w:val="00B4277B"/>
    <w:rsid w:val="00B42AB9"/>
    <w:rsid w:val="00B42EF0"/>
    <w:rsid w:val="00B45F0B"/>
    <w:rsid w:val="00B4659D"/>
    <w:rsid w:val="00B5145C"/>
    <w:rsid w:val="00B51568"/>
    <w:rsid w:val="00B51EB7"/>
    <w:rsid w:val="00B51ECA"/>
    <w:rsid w:val="00B529CA"/>
    <w:rsid w:val="00B53301"/>
    <w:rsid w:val="00B53390"/>
    <w:rsid w:val="00B533E4"/>
    <w:rsid w:val="00B53C17"/>
    <w:rsid w:val="00B540E4"/>
    <w:rsid w:val="00B61B8E"/>
    <w:rsid w:val="00B62AD8"/>
    <w:rsid w:val="00B66006"/>
    <w:rsid w:val="00B66F59"/>
    <w:rsid w:val="00B72EA8"/>
    <w:rsid w:val="00B7367E"/>
    <w:rsid w:val="00B7428F"/>
    <w:rsid w:val="00B74E97"/>
    <w:rsid w:val="00B763DD"/>
    <w:rsid w:val="00B777EF"/>
    <w:rsid w:val="00B77B2D"/>
    <w:rsid w:val="00B77D0C"/>
    <w:rsid w:val="00B80329"/>
    <w:rsid w:val="00B80529"/>
    <w:rsid w:val="00B81A3A"/>
    <w:rsid w:val="00B835CA"/>
    <w:rsid w:val="00B84511"/>
    <w:rsid w:val="00B848A3"/>
    <w:rsid w:val="00B85B15"/>
    <w:rsid w:val="00B86C40"/>
    <w:rsid w:val="00B87256"/>
    <w:rsid w:val="00B917E2"/>
    <w:rsid w:val="00B91A88"/>
    <w:rsid w:val="00B92104"/>
    <w:rsid w:val="00B9383D"/>
    <w:rsid w:val="00B943FE"/>
    <w:rsid w:val="00B948BF"/>
    <w:rsid w:val="00B9568B"/>
    <w:rsid w:val="00B957EF"/>
    <w:rsid w:val="00BA0C35"/>
    <w:rsid w:val="00BA1685"/>
    <w:rsid w:val="00BA17BD"/>
    <w:rsid w:val="00BA1D35"/>
    <w:rsid w:val="00BA3A03"/>
    <w:rsid w:val="00BA3FBB"/>
    <w:rsid w:val="00BA5493"/>
    <w:rsid w:val="00BA6017"/>
    <w:rsid w:val="00BA7516"/>
    <w:rsid w:val="00BA7661"/>
    <w:rsid w:val="00BB02A5"/>
    <w:rsid w:val="00BB0374"/>
    <w:rsid w:val="00BB0B45"/>
    <w:rsid w:val="00BB1396"/>
    <w:rsid w:val="00BB2FF2"/>
    <w:rsid w:val="00BB34A4"/>
    <w:rsid w:val="00BB48BF"/>
    <w:rsid w:val="00BB6989"/>
    <w:rsid w:val="00BB6B6F"/>
    <w:rsid w:val="00BB7205"/>
    <w:rsid w:val="00BB7FED"/>
    <w:rsid w:val="00BC1700"/>
    <w:rsid w:val="00BC18C4"/>
    <w:rsid w:val="00BC24C2"/>
    <w:rsid w:val="00BC32D8"/>
    <w:rsid w:val="00BC48BB"/>
    <w:rsid w:val="00BC6AF5"/>
    <w:rsid w:val="00BC7CC9"/>
    <w:rsid w:val="00BD1600"/>
    <w:rsid w:val="00BD1E42"/>
    <w:rsid w:val="00BD61E0"/>
    <w:rsid w:val="00BD655E"/>
    <w:rsid w:val="00BE0850"/>
    <w:rsid w:val="00BE1449"/>
    <w:rsid w:val="00BE27FC"/>
    <w:rsid w:val="00BE35CE"/>
    <w:rsid w:val="00BE4D4F"/>
    <w:rsid w:val="00BE59CB"/>
    <w:rsid w:val="00BF0F95"/>
    <w:rsid w:val="00BF1607"/>
    <w:rsid w:val="00BF26E2"/>
    <w:rsid w:val="00BF2F1A"/>
    <w:rsid w:val="00BF38D6"/>
    <w:rsid w:val="00BF5282"/>
    <w:rsid w:val="00BF5886"/>
    <w:rsid w:val="00BF7139"/>
    <w:rsid w:val="00C013CE"/>
    <w:rsid w:val="00C019B1"/>
    <w:rsid w:val="00C01BDB"/>
    <w:rsid w:val="00C01F1F"/>
    <w:rsid w:val="00C03175"/>
    <w:rsid w:val="00C04251"/>
    <w:rsid w:val="00C05530"/>
    <w:rsid w:val="00C05F15"/>
    <w:rsid w:val="00C066F4"/>
    <w:rsid w:val="00C0712A"/>
    <w:rsid w:val="00C07465"/>
    <w:rsid w:val="00C07759"/>
    <w:rsid w:val="00C10DC6"/>
    <w:rsid w:val="00C1200E"/>
    <w:rsid w:val="00C12779"/>
    <w:rsid w:val="00C141B8"/>
    <w:rsid w:val="00C142B1"/>
    <w:rsid w:val="00C14CAF"/>
    <w:rsid w:val="00C1619F"/>
    <w:rsid w:val="00C214E1"/>
    <w:rsid w:val="00C22991"/>
    <w:rsid w:val="00C23261"/>
    <w:rsid w:val="00C2450B"/>
    <w:rsid w:val="00C24F17"/>
    <w:rsid w:val="00C2771F"/>
    <w:rsid w:val="00C301A5"/>
    <w:rsid w:val="00C305CB"/>
    <w:rsid w:val="00C35BB0"/>
    <w:rsid w:val="00C35DC7"/>
    <w:rsid w:val="00C36BE9"/>
    <w:rsid w:val="00C36E1E"/>
    <w:rsid w:val="00C370CB"/>
    <w:rsid w:val="00C37B4D"/>
    <w:rsid w:val="00C400BE"/>
    <w:rsid w:val="00C456CE"/>
    <w:rsid w:val="00C45B9A"/>
    <w:rsid w:val="00C47B4D"/>
    <w:rsid w:val="00C51995"/>
    <w:rsid w:val="00C51F10"/>
    <w:rsid w:val="00C520D2"/>
    <w:rsid w:val="00C52542"/>
    <w:rsid w:val="00C52AE6"/>
    <w:rsid w:val="00C53016"/>
    <w:rsid w:val="00C544F1"/>
    <w:rsid w:val="00C55C30"/>
    <w:rsid w:val="00C56BAB"/>
    <w:rsid w:val="00C5764F"/>
    <w:rsid w:val="00C57682"/>
    <w:rsid w:val="00C57BD0"/>
    <w:rsid w:val="00C618F3"/>
    <w:rsid w:val="00C61A25"/>
    <w:rsid w:val="00C62A0B"/>
    <w:rsid w:val="00C635DF"/>
    <w:rsid w:val="00C63811"/>
    <w:rsid w:val="00C703C9"/>
    <w:rsid w:val="00C714AE"/>
    <w:rsid w:val="00C722A1"/>
    <w:rsid w:val="00C728DA"/>
    <w:rsid w:val="00C74BAA"/>
    <w:rsid w:val="00C74FF0"/>
    <w:rsid w:val="00C7503F"/>
    <w:rsid w:val="00C76C8C"/>
    <w:rsid w:val="00C77D0D"/>
    <w:rsid w:val="00C77EAE"/>
    <w:rsid w:val="00C77F3C"/>
    <w:rsid w:val="00C807FB"/>
    <w:rsid w:val="00C80D8A"/>
    <w:rsid w:val="00C81382"/>
    <w:rsid w:val="00C8277D"/>
    <w:rsid w:val="00C831EC"/>
    <w:rsid w:val="00C8325E"/>
    <w:rsid w:val="00C83EAF"/>
    <w:rsid w:val="00C845A1"/>
    <w:rsid w:val="00C850F4"/>
    <w:rsid w:val="00C8614A"/>
    <w:rsid w:val="00C86B03"/>
    <w:rsid w:val="00C86F0E"/>
    <w:rsid w:val="00C87EB8"/>
    <w:rsid w:val="00C90EEC"/>
    <w:rsid w:val="00C90FCE"/>
    <w:rsid w:val="00C91974"/>
    <w:rsid w:val="00C92A4B"/>
    <w:rsid w:val="00C92FEF"/>
    <w:rsid w:val="00C93F7C"/>
    <w:rsid w:val="00C9434C"/>
    <w:rsid w:val="00C94DBD"/>
    <w:rsid w:val="00C96B00"/>
    <w:rsid w:val="00C974FF"/>
    <w:rsid w:val="00CA0121"/>
    <w:rsid w:val="00CA0BC0"/>
    <w:rsid w:val="00CA0E40"/>
    <w:rsid w:val="00CA2329"/>
    <w:rsid w:val="00CA52D0"/>
    <w:rsid w:val="00CA583A"/>
    <w:rsid w:val="00CA5FEC"/>
    <w:rsid w:val="00CA7AD4"/>
    <w:rsid w:val="00CB0E39"/>
    <w:rsid w:val="00CB12AD"/>
    <w:rsid w:val="00CB2252"/>
    <w:rsid w:val="00CB2486"/>
    <w:rsid w:val="00CB2E93"/>
    <w:rsid w:val="00CB39FB"/>
    <w:rsid w:val="00CB4585"/>
    <w:rsid w:val="00CB5768"/>
    <w:rsid w:val="00CB730C"/>
    <w:rsid w:val="00CB7F6C"/>
    <w:rsid w:val="00CC0998"/>
    <w:rsid w:val="00CC2C08"/>
    <w:rsid w:val="00CC31C3"/>
    <w:rsid w:val="00CC3BDB"/>
    <w:rsid w:val="00CC6189"/>
    <w:rsid w:val="00CC64B9"/>
    <w:rsid w:val="00CD13F5"/>
    <w:rsid w:val="00CD20B1"/>
    <w:rsid w:val="00CD5543"/>
    <w:rsid w:val="00CD5974"/>
    <w:rsid w:val="00CE03CC"/>
    <w:rsid w:val="00CE0765"/>
    <w:rsid w:val="00CE09AE"/>
    <w:rsid w:val="00CE28F8"/>
    <w:rsid w:val="00CE2CC6"/>
    <w:rsid w:val="00CE3605"/>
    <w:rsid w:val="00CE5D1A"/>
    <w:rsid w:val="00CE71F9"/>
    <w:rsid w:val="00CF1E68"/>
    <w:rsid w:val="00CF2A92"/>
    <w:rsid w:val="00CF3737"/>
    <w:rsid w:val="00CF4FAE"/>
    <w:rsid w:val="00CF5096"/>
    <w:rsid w:val="00CF5E32"/>
    <w:rsid w:val="00D002A6"/>
    <w:rsid w:val="00D00DB8"/>
    <w:rsid w:val="00D01733"/>
    <w:rsid w:val="00D01AA2"/>
    <w:rsid w:val="00D027E6"/>
    <w:rsid w:val="00D03ECC"/>
    <w:rsid w:val="00D04784"/>
    <w:rsid w:val="00D04D1D"/>
    <w:rsid w:val="00D05D91"/>
    <w:rsid w:val="00D062B0"/>
    <w:rsid w:val="00D06676"/>
    <w:rsid w:val="00D11E3F"/>
    <w:rsid w:val="00D138F0"/>
    <w:rsid w:val="00D13A8A"/>
    <w:rsid w:val="00D140F5"/>
    <w:rsid w:val="00D14B66"/>
    <w:rsid w:val="00D15C98"/>
    <w:rsid w:val="00D16BEC"/>
    <w:rsid w:val="00D16CEF"/>
    <w:rsid w:val="00D17011"/>
    <w:rsid w:val="00D17C0C"/>
    <w:rsid w:val="00D21ED0"/>
    <w:rsid w:val="00D21F11"/>
    <w:rsid w:val="00D22FBB"/>
    <w:rsid w:val="00D23D34"/>
    <w:rsid w:val="00D26E36"/>
    <w:rsid w:val="00D26FD8"/>
    <w:rsid w:val="00D274D3"/>
    <w:rsid w:val="00D3155F"/>
    <w:rsid w:val="00D32514"/>
    <w:rsid w:val="00D32C06"/>
    <w:rsid w:val="00D32DF1"/>
    <w:rsid w:val="00D3423B"/>
    <w:rsid w:val="00D37487"/>
    <w:rsid w:val="00D37D45"/>
    <w:rsid w:val="00D40E68"/>
    <w:rsid w:val="00D41826"/>
    <w:rsid w:val="00D41A70"/>
    <w:rsid w:val="00D42249"/>
    <w:rsid w:val="00D4518A"/>
    <w:rsid w:val="00D4749D"/>
    <w:rsid w:val="00D47766"/>
    <w:rsid w:val="00D539CC"/>
    <w:rsid w:val="00D54281"/>
    <w:rsid w:val="00D54769"/>
    <w:rsid w:val="00D60604"/>
    <w:rsid w:val="00D628EC"/>
    <w:rsid w:val="00D64679"/>
    <w:rsid w:val="00D659B8"/>
    <w:rsid w:val="00D6716B"/>
    <w:rsid w:val="00D6752D"/>
    <w:rsid w:val="00D7002B"/>
    <w:rsid w:val="00D7311B"/>
    <w:rsid w:val="00D74125"/>
    <w:rsid w:val="00D74487"/>
    <w:rsid w:val="00D744F9"/>
    <w:rsid w:val="00D76508"/>
    <w:rsid w:val="00D765E9"/>
    <w:rsid w:val="00D8034F"/>
    <w:rsid w:val="00D804A9"/>
    <w:rsid w:val="00D80E26"/>
    <w:rsid w:val="00D83752"/>
    <w:rsid w:val="00D8559F"/>
    <w:rsid w:val="00D85862"/>
    <w:rsid w:val="00D8690D"/>
    <w:rsid w:val="00D91136"/>
    <w:rsid w:val="00D9197C"/>
    <w:rsid w:val="00D927BD"/>
    <w:rsid w:val="00D94497"/>
    <w:rsid w:val="00D94A4D"/>
    <w:rsid w:val="00D95487"/>
    <w:rsid w:val="00D9784C"/>
    <w:rsid w:val="00DA049E"/>
    <w:rsid w:val="00DA10EF"/>
    <w:rsid w:val="00DA2931"/>
    <w:rsid w:val="00DA4A53"/>
    <w:rsid w:val="00DA505B"/>
    <w:rsid w:val="00DA5BFA"/>
    <w:rsid w:val="00DA75AC"/>
    <w:rsid w:val="00DB1738"/>
    <w:rsid w:val="00DB1EF2"/>
    <w:rsid w:val="00DB3401"/>
    <w:rsid w:val="00DB4F03"/>
    <w:rsid w:val="00DB5277"/>
    <w:rsid w:val="00DB5878"/>
    <w:rsid w:val="00DB5A7F"/>
    <w:rsid w:val="00DB5F0B"/>
    <w:rsid w:val="00DB6129"/>
    <w:rsid w:val="00DB6326"/>
    <w:rsid w:val="00DB6812"/>
    <w:rsid w:val="00DB6914"/>
    <w:rsid w:val="00DB705B"/>
    <w:rsid w:val="00DB7B09"/>
    <w:rsid w:val="00DC1247"/>
    <w:rsid w:val="00DC1935"/>
    <w:rsid w:val="00DC2072"/>
    <w:rsid w:val="00DC32F2"/>
    <w:rsid w:val="00DC3622"/>
    <w:rsid w:val="00DC3780"/>
    <w:rsid w:val="00DC3A01"/>
    <w:rsid w:val="00DC461C"/>
    <w:rsid w:val="00DC56F9"/>
    <w:rsid w:val="00DC578C"/>
    <w:rsid w:val="00DC7A4E"/>
    <w:rsid w:val="00DC7FDC"/>
    <w:rsid w:val="00DD08AA"/>
    <w:rsid w:val="00DD1152"/>
    <w:rsid w:val="00DD1A8A"/>
    <w:rsid w:val="00DD4F7E"/>
    <w:rsid w:val="00DD549F"/>
    <w:rsid w:val="00DD5897"/>
    <w:rsid w:val="00DD6F9C"/>
    <w:rsid w:val="00DD7F26"/>
    <w:rsid w:val="00DE243C"/>
    <w:rsid w:val="00DE2A26"/>
    <w:rsid w:val="00DE3529"/>
    <w:rsid w:val="00DE4F6F"/>
    <w:rsid w:val="00DE5DA2"/>
    <w:rsid w:val="00DF094C"/>
    <w:rsid w:val="00DF0BD4"/>
    <w:rsid w:val="00DF1036"/>
    <w:rsid w:val="00DF170B"/>
    <w:rsid w:val="00DF171B"/>
    <w:rsid w:val="00DF2D12"/>
    <w:rsid w:val="00DF3817"/>
    <w:rsid w:val="00DF6C13"/>
    <w:rsid w:val="00E00327"/>
    <w:rsid w:val="00E0040B"/>
    <w:rsid w:val="00E00907"/>
    <w:rsid w:val="00E00CE2"/>
    <w:rsid w:val="00E01CA8"/>
    <w:rsid w:val="00E030A3"/>
    <w:rsid w:val="00E042D3"/>
    <w:rsid w:val="00E05766"/>
    <w:rsid w:val="00E063DA"/>
    <w:rsid w:val="00E06B97"/>
    <w:rsid w:val="00E074CD"/>
    <w:rsid w:val="00E11B51"/>
    <w:rsid w:val="00E1516E"/>
    <w:rsid w:val="00E169FE"/>
    <w:rsid w:val="00E16F63"/>
    <w:rsid w:val="00E20CAB"/>
    <w:rsid w:val="00E22018"/>
    <w:rsid w:val="00E22127"/>
    <w:rsid w:val="00E22A10"/>
    <w:rsid w:val="00E25B40"/>
    <w:rsid w:val="00E25DE0"/>
    <w:rsid w:val="00E2630F"/>
    <w:rsid w:val="00E26803"/>
    <w:rsid w:val="00E26E76"/>
    <w:rsid w:val="00E30FA7"/>
    <w:rsid w:val="00E33335"/>
    <w:rsid w:val="00E33360"/>
    <w:rsid w:val="00E33C12"/>
    <w:rsid w:val="00E342DA"/>
    <w:rsid w:val="00E37155"/>
    <w:rsid w:val="00E3766F"/>
    <w:rsid w:val="00E37DD1"/>
    <w:rsid w:val="00E40665"/>
    <w:rsid w:val="00E40E2A"/>
    <w:rsid w:val="00E417DB"/>
    <w:rsid w:val="00E41E6B"/>
    <w:rsid w:val="00E427AB"/>
    <w:rsid w:val="00E4345A"/>
    <w:rsid w:val="00E45C1B"/>
    <w:rsid w:val="00E46612"/>
    <w:rsid w:val="00E46B00"/>
    <w:rsid w:val="00E47AE8"/>
    <w:rsid w:val="00E5055E"/>
    <w:rsid w:val="00E513D2"/>
    <w:rsid w:val="00E51CBF"/>
    <w:rsid w:val="00E51E50"/>
    <w:rsid w:val="00E53197"/>
    <w:rsid w:val="00E53C18"/>
    <w:rsid w:val="00E53D30"/>
    <w:rsid w:val="00E55A8E"/>
    <w:rsid w:val="00E56E27"/>
    <w:rsid w:val="00E6014B"/>
    <w:rsid w:val="00E601B0"/>
    <w:rsid w:val="00E60346"/>
    <w:rsid w:val="00E60382"/>
    <w:rsid w:val="00E61AED"/>
    <w:rsid w:val="00E627EF"/>
    <w:rsid w:val="00E63AE3"/>
    <w:rsid w:val="00E647E1"/>
    <w:rsid w:val="00E65890"/>
    <w:rsid w:val="00E667F5"/>
    <w:rsid w:val="00E66AC0"/>
    <w:rsid w:val="00E70643"/>
    <w:rsid w:val="00E710AD"/>
    <w:rsid w:val="00E725A3"/>
    <w:rsid w:val="00E73191"/>
    <w:rsid w:val="00E73332"/>
    <w:rsid w:val="00E73423"/>
    <w:rsid w:val="00E73679"/>
    <w:rsid w:val="00E7475C"/>
    <w:rsid w:val="00E76130"/>
    <w:rsid w:val="00E7630B"/>
    <w:rsid w:val="00E76BD7"/>
    <w:rsid w:val="00E77DE7"/>
    <w:rsid w:val="00E81DD3"/>
    <w:rsid w:val="00E82824"/>
    <w:rsid w:val="00E82F1A"/>
    <w:rsid w:val="00E82F8C"/>
    <w:rsid w:val="00E83D82"/>
    <w:rsid w:val="00E84D7E"/>
    <w:rsid w:val="00E907A2"/>
    <w:rsid w:val="00E91907"/>
    <w:rsid w:val="00E9339A"/>
    <w:rsid w:val="00E93B10"/>
    <w:rsid w:val="00E9487D"/>
    <w:rsid w:val="00E95B73"/>
    <w:rsid w:val="00E96700"/>
    <w:rsid w:val="00E96ADD"/>
    <w:rsid w:val="00EA2415"/>
    <w:rsid w:val="00EA2937"/>
    <w:rsid w:val="00EA440A"/>
    <w:rsid w:val="00EA4428"/>
    <w:rsid w:val="00EA444F"/>
    <w:rsid w:val="00EA4C54"/>
    <w:rsid w:val="00EA5078"/>
    <w:rsid w:val="00EA5348"/>
    <w:rsid w:val="00EA7A8A"/>
    <w:rsid w:val="00EB21AC"/>
    <w:rsid w:val="00EB2616"/>
    <w:rsid w:val="00EB35DE"/>
    <w:rsid w:val="00EB3B17"/>
    <w:rsid w:val="00EB3E23"/>
    <w:rsid w:val="00EB49F4"/>
    <w:rsid w:val="00EB7BCD"/>
    <w:rsid w:val="00EC0D58"/>
    <w:rsid w:val="00EC1A64"/>
    <w:rsid w:val="00EC1E45"/>
    <w:rsid w:val="00EC40BC"/>
    <w:rsid w:val="00EC5A6D"/>
    <w:rsid w:val="00EC5EDC"/>
    <w:rsid w:val="00EC7357"/>
    <w:rsid w:val="00EC7A8B"/>
    <w:rsid w:val="00EC7AF2"/>
    <w:rsid w:val="00EC7B08"/>
    <w:rsid w:val="00ED02EF"/>
    <w:rsid w:val="00ED1D14"/>
    <w:rsid w:val="00ED21B3"/>
    <w:rsid w:val="00ED24A1"/>
    <w:rsid w:val="00ED25B9"/>
    <w:rsid w:val="00ED2758"/>
    <w:rsid w:val="00ED28CE"/>
    <w:rsid w:val="00ED33A3"/>
    <w:rsid w:val="00ED51AA"/>
    <w:rsid w:val="00ED56EB"/>
    <w:rsid w:val="00ED60A8"/>
    <w:rsid w:val="00ED6339"/>
    <w:rsid w:val="00ED713D"/>
    <w:rsid w:val="00ED7907"/>
    <w:rsid w:val="00EE12E9"/>
    <w:rsid w:val="00EE3306"/>
    <w:rsid w:val="00EE4839"/>
    <w:rsid w:val="00EE51DE"/>
    <w:rsid w:val="00EE763C"/>
    <w:rsid w:val="00EE768F"/>
    <w:rsid w:val="00EF165E"/>
    <w:rsid w:val="00EF1976"/>
    <w:rsid w:val="00EF21A4"/>
    <w:rsid w:val="00EF2B20"/>
    <w:rsid w:val="00EF42B5"/>
    <w:rsid w:val="00EF4592"/>
    <w:rsid w:val="00EF47CD"/>
    <w:rsid w:val="00EF4862"/>
    <w:rsid w:val="00EF543C"/>
    <w:rsid w:val="00EF6366"/>
    <w:rsid w:val="00F01AD3"/>
    <w:rsid w:val="00F01C82"/>
    <w:rsid w:val="00F042AD"/>
    <w:rsid w:val="00F04972"/>
    <w:rsid w:val="00F059D2"/>
    <w:rsid w:val="00F05DFB"/>
    <w:rsid w:val="00F05E9E"/>
    <w:rsid w:val="00F06708"/>
    <w:rsid w:val="00F12B67"/>
    <w:rsid w:val="00F12FF1"/>
    <w:rsid w:val="00F1395E"/>
    <w:rsid w:val="00F14578"/>
    <w:rsid w:val="00F15306"/>
    <w:rsid w:val="00F1671A"/>
    <w:rsid w:val="00F16C0E"/>
    <w:rsid w:val="00F17281"/>
    <w:rsid w:val="00F22B66"/>
    <w:rsid w:val="00F22BA5"/>
    <w:rsid w:val="00F25B7B"/>
    <w:rsid w:val="00F26618"/>
    <w:rsid w:val="00F301BC"/>
    <w:rsid w:val="00F31040"/>
    <w:rsid w:val="00F3149C"/>
    <w:rsid w:val="00F31A9C"/>
    <w:rsid w:val="00F31FC4"/>
    <w:rsid w:val="00F337D1"/>
    <w:rsid w:val="00F33A9E"/>
    <w:rsid w:val="00F341A0"/>
    <w:rsid w:val="00F343EB"/>
    <w:rsid w:val="00F34472"/>
    <w:rsid w:val="00F34599"/>
    <w:rsid w:val="00F3546C"/>
    <w:rsid w:val="00F35738"/>
    <w:rsid w:val="00F35FEC"/>
    <w:rsid w:val="00F36E21"/>
    <w:rsid w:val="00F41715"/>
    <w:rsid w:val="00F419B4"/>
    <w:rsid w:val="00F43828"/>
    <w:rsid w:val="00F53C3A"/>
    <w:rsid w:val="00F54901"/>
    <w:rsid w:val="00F54A8F"/>
    <w:rsid w:val="00F55408"/>
    <w:rsid w:val="00F56436"/>
    <w:rsid w:val="00F564B4"/>
    <w:rsid w:val="00F6073D"/>
    <w:rsid w:val="00F6106E"/>
    <w:rsid w:val="00F636D2"/>
    <w:rsid w:val="00F63AA6"/>
    <w:rsid w:val="00F648B5"/>
    <w:rsid w:val="00F648D2"/>
    <w:rsid w:val="00F666EF"/>
    <w:rsid w:val="00F66AF3"/>
    <w:rsid w:val="00F67705"/>
    <w:rsid w:val="00F677C9"/>
    <w:rsid w:val="00F6798A"/>
    <w:rsid w:val="00F70AC9"/>
    <w:rsid w:val="00F70E3A"/>
    <w:rsid w:val="00F71E89"/>
    <w:rsid w:val="00F71EB1"/>
    <w:rsid w:val="00F73467"/>
    <w:rsid w:val="00F73C3A"/>
    <w:rsid w:val="00F73C5D"/>
    <w:rsid w:val="00F7412E"/>
    <w:rsid w:val="00F74508"/>
    <w:rsid w:val="00F748EC"/>
    <w:rsid w:val="00F74DC0"/>
    <w:rsid w:val="00F767ED"/>
    <w:rsid w:val="00F7686E"/>
    <w:rsid w:val="00F77AC3"/>
    <w:rsid w:val="00F802BD"/>
    <w:rsid w:val="00F80CCE"/>
    <w:rsid w:val="00F81614"/>
    <w:rsid w:val="00F81914"/>
    <w:rsid w:val="00F81C0A"/>
    <w:rsid w:val="00F83042"/>
    <w:rsid w:val="00F8351F"/>
    <w:rsid w:val="00F84998"/>
    <w:rsid w:val="00F855C9"/>
    <w:rsid w:val="00F85A69"/>
    <w:rsid w:val="00F8782A"/>
    <w:rsid w:val="00F87CC5"/>
    <w:rsid w:val="00F9017C"/>
    <w:rsid w:val="00F91CA1"/>
    <w:rsid w:val="00F91EF2"/>
    <w:rsid w:val="00F923C9"/>
    <w:rsid w:val="00F92FA7"/>
    <w:rsid w:val="00F93D94"/>
    <w:rsid w:val="00F94DD6"/>
    <w:rsid w:val="00F95C97"/>
    <w:rsid w:val="00F960C1"/>
    <w:rsid w:val="00FA0E51"/>
    <w:rsid w:val="00FA0FEB"/>
    <w:rsid w:val="00FA1440"/>
    <w:rsid w:val="00FA1C09"/>
    <w:rsid w:val="00FA321A"/>
    <w:rsid w:val="00FA3589"/>
    <w:rsid w:val="00FA424C"/>
    <w:rsid w:val="00FA595B"/>
    <w:rsid w:val="00FA5CE4"/>
    <w:rsid w:val="00FB177E"/>
    <w:rsid w:val="00FB1892"/>
    <w:rsid w:val="00FB1F7A"/>
    <w:rsid w:val="00FB2620"/>
    <w:rsid w:val="00FB311E"/>
    <w:rsid w:val="00FB3984"/>
    <w:rsid w:val="00FB4628"/>
    <w:rsid w:val="00FB6B0B"/>
    <w:rsid w:val="00FB7DB8"/>
    <w:rsid w:val="00FC1491"/>
    <w:rsid w:val="00FC32BC"/>
    <w:rsid w:val="00FC497C"/>
    <w:rsid w:val="00FD2A5F"/>
    <w:rsid w:val="00FD2D32"/>
    <w:rsid w:val="00FD402B"/>
    <w:rsid w:val="00FD4860"/>
    <w:rsid w:val="00FD5171"/>
    <w:rsid w:val="00FD529D"/>
    <w:rsid w:val="00FD556A"/>
    <w:rsid w:val="00FD64D7"/>
    <w:rsid w:val="00FD69D6"/>
    <w:rsid w:val="00FD6D32"/>
    <w:rsid w:val="00FE034A"/>
    <w:rsid w:val="00FE087D"/>
    <w:rsid w:val="00FE09D7"/>
    <w:rsid w:val="00FE0B09"/>
    <w:rsid w:val="00FE15AD"/>
    <w:rsid w:val="00FE184A"/>
    <w:rsid w:val="00FE1F6C"/>
    <w:rsid w:val="00FE3282"/>
    <w:rsid w:val="00FE4C43"/>
    <w:rsid w:val="00FE582F"/>
    <w:rsid w:val="00FE7101"/>
    <w:rsid w:val="00FE7568"/>
    <w:rsid w:val="00FE7750"/>
    <w:rsid w:val="00FE7C6E"/>
    <w:rsid w:val="00FF02E6"/>
    <w:rsid w:val="00FF0CF8"/>
    <w:rsid w:val="00FF167B"/>
    <w:rsid w:val="00FF3DC2"/>
    <w:rsid w:val="00FF4627"/>
    <w:rsid w:val="00FF4EE4"/>
    <w:rsid w:val="00FF54EE"/>
    <w:rsid w:val="03815402"/>
    <w:rsid w:val="05ED35C6"/>
    <w:rsid w:val="06AE537A"/>
    <w:rsid w:val="091A62E3"/>
    <w:rsid w:val="0BF91097"/>
    <w:rsid w:val="0CB50A66"/>
    <w:rsid w:val="0E4442F3"/>
    <w:rsid w:val="12A44024"/>
    <w:rsid w:val="12B95BC3"/>
    <w:rsid w:val="13F26AFA"/>
    <w:rsid w:val="16A14E22"/>
    <w:rsid w:val="16FE2CA4"/>
    <w:rsid w:val="1D2B3F08"/>
    <w:rsid w:val="1F682713"/>
    <w:rsid w:val="20D81670"/>
    <w:rsid w:val="21045686"/>
    <w:rsid w:val="23FC3497"/>
    <w:rsid w:val="24E449A6"/>
    <w:rsid w:val="257F6FF4"/>
    <w:rsid w:val="2C741AD6"/>
    <w:rsid w:val="2D3A4BC3"/>
    <w:rsid w:val="2D780487"/>
    <w:rsid w:val="2DC42C1A"/>
    <w:rsid w:val="2E953B7B"/>
    <w:rsid w:val="2FBE5161"/>
    <w:rsid w:val="31E41CE9"/>
    <w:rsid w:val="33455499"/>
    <w:rsid w:val="33D15741"/>
    <w:rsid w:val="349E735E"/>
    <w:rsid w:val="34F23B6A"/>
    <w:rsid w:val="35824894"/>
    <w:rsid w:val="3A1D72E8"/>
    <w:rsid w:val="3F0C5847"/>
    <w:rsid w:val="426F0B98"/>
    <w:rsid w:val="430C0AAA"/>
    <w:rsid w:val="43A80ECE"/>
    <w:rsid w:val="43D90622"/>
    <w:rsid w:val="4BF14BAC"/>
    <w:rsid w:val="4EAA2317"/>
    <w:rsid w:val="599D2A70"/>
    <w:rsid w:val="5BD33AF9"/>
    <w:rsid w:val="5D8112E8"/>
    <w:rsid w:val="5E865A02"/>
    <w:rsid w:val="5F7455EC"/>
    <w:rsid w:val="61BC15A1"/>
    <w:rsid w:val="63045C06"/>
    <w:rsid w:val="64F772EB"/>
    <w:rsid w:val="653D69A4"/>
    <w:rsid w:val="658030A5"/>
    <w:rsid w:val="66120EB3"/>
    <w:rsid w:val="67861B0A"/>
    <w:rsid w:val="696F0988"/>
    <w:rsid w:val="6ABF6DB0"/>
    <w:rsid w:val="70A40CAF"/>
    <w:rsid w:val="71010001"/>
    <w:rsid w:val="72275206"/>
    <w:rsid w:val="748977E1"/>
    <w:rsid w:val="751B5B0B"/>
    <w:rsid w:val="764F6C5F"/>
    <w:rsid w:val="787B3D71"/>
    <w:rsid w:val="7C61346A"/>
    <w:rsid w:val="7FAC0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4"/>
    <w:link w:val="40"/>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8">
    <w:name w:val="heading 6"/>
    <w:basedOn w:val="1"/>
    <w:next w:val="1"/>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4">
    <w:name w:val="Default Paragraph Font"/>
    <w:semiHidden/>
    <w:unhideWhenUsed/>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4">
    <w:name w:val="Body Text First Indent"/>
    <w:basedOn w:val="5"/>
    <w:qFormat/>
    <w:uiPriority w:val="0"/>
    <w:pPr>
      <w:tabs>
        <w:tab w:val="left" w:pos="482"/>
        <w:tab w:val="left" w:pos="2183"/>
        <w:tab w:val="left" w:pos="3884"/>
        <w:tab w:val="left" w:pos="5585"/>
      </w:tabs>
      <w:spacing w:after="0"/>
      <w:ind w:firstLine="482"/>
    </w:pPr>
  </w:style>
  <w:style w:type="paragraph" w:styleId="5">
    <w:name w:val="Body Text"/>
    <w:basedOn w:val="1"/>
    <w:link w:val="44"/>
    <w:qFormat/>
    <w:uiPriority w:val="0"/>
    <w:pPr>
      <w:spacing w:after="120"/>
    </w:pPr>
  </w:style>
  <w:style w:type="paragraph" w:styleId="12">
    <w:name w:val="Normal Indent"/>
    <w:basedOn w:val="1"/>
    <w:link w:val="47"/>
    <w:qFormat/>
    <w:uiPriority w:val="0"/>
    <w:pPr>
      <w:ind w:firstLine="420" w:firstLineChars="200"/>
    </w:pPr>
  </w:style>
  <w:style w:type="paragraph" w:styleId="13">
    <w:name w:val="Document Map"/>
    <w:basedOn w:val="1"/>
    <w:semiHidden/>
    <w:qFormat/>
    <w:uiPriority w:val="0"/>
    <w:pPr>
      <w:shd w:val="clear" w:color="auto" w:fill="000080"/>
    </w:pPr>
  </w:style>
  <w:style w:type="paragraph" w:styleId="14">
    <w:name w:val="annotation text"/>
    <w:basedOn w:val="1"/>
    <w:semiHidden/>
    <w:qFormat/>
    <w:uiPriority w:val="0"/>
    <w:pPr>
      <w:jc w:val="left"/>
    </w:pPr>
  </w:style>
  <w:style w:type="paragraph" w:styleId="15">
    <w:name w:val="Body Text 3"/>
    <w:basedOn w:val="1"/>
    <w:qFormat/>
    <w:uiPriority w:val="0"/>
    <w:rPr>
      <w:rFonts w:ascii="宋体"/>
      <w:sz w:val="24"/>
      <w:szCs w:val="20"/>
    </w:rPr>
  </w:style>
  <w:style w:type="paragraph" w:styleId="16">
    <w:name w:val="Body Text Indent"/>
    <w:basedOn w:val="1"/>
    <w:qFormat/>
    <w:uiPriority w:val="0"/>
    <w:pPr>
      <w:spacing w:after="120"/>
      <w:ind w:left="420" w:leftChars="200"/>
    </w:pPr>
  </w:style>
  <w:style w:type="paragraph" w:styleId="17">
    <w:name w:val="toc 3"/>
    <w:basedOn w:val="1"/>
    <w:next w:val="1"/>
    <w:semiHidden/>
    <w:qFormat/>
    <w:uiPriority w:val="0"/>
    <w:pPr>
      <w:ind w:left="840" w:leftChars="400"/>
    </w:pPr>
  </w:style>
  <w:style w:type="paragraph" w:styleId="18">
    <w:name w:val="Plain Text"/>
    <w:basedOn w:val="1"/>
    <w:link w:val="45"/>
    <w:qFormat/>
    <w:uiPriority w:val="0"/>
    <w:rPr>
      <w:rFonts w:ascii="宋体" w:hAnsi="Courier New"/>
      <w:szCs w:val="20"/>
    </w:rPr>
  </w:style>
  <w:style w:type="paragraph" w:styleId="19">
    <w:name w:val="index 3"/>
    <w:basedOn w:val="1"/>
    <w:next w:val="1"/>
    <w:qFormat/>
    <w:uiPriority w:val="0"/>
    <w:pPr>
      <w:ind w:left="400" w:leftChars="400"/>
    </w:pPr>
    <w:rPr>
      <w:szCs w:val="20"/>
    </w:rPr>
  </w:style>
  <w:style w:type="paragraph" w:styleId="20">
    <w:name w:val="Date"/>
    <w:basedOn w:val="1"/>
    <w:next w:val="1"/>
    <w:qFormat/>
    <w:uiPriority w:val="0"/>
    <w:rPr>
      <w:sz w:val="24"/>
      <w:szCs w:val="20"/>
    </w:rPr>
  </w:style>
  <w:style w:type="paragraph" w:styleId="21">
    <w:name w:val="Balloon Text"/>
    <w:basedOn w:val="1"/>
    <w:semiHidden/>
    <w:qFormat/>
    <w:uiPriority w:val="0"/>
    <w:rPr>
      <w:sz w:val="18"/>
      <w:szCs w:val="18"/>
    </w:rPr>
  </w:style>
  <w:style w:type="paragraph" w:styleId="22">
    <w:name w:val="footer"/>
    <w:basedOn w:val="1"/>
    <w:link w:val="67"/>
    <w:qFormat/>
    <w:uiPriority w:val="99"/>
    <w:pPr>
      <w:tabs>
        <w:tab w:val="center" w:pos="4153"/>
        <w:tab w:val="right" w:pos="8306"/>
      </w:tabs>
      <w:snapToGrid w:val="0"/>
      <w:jc w:val="left"/>
    </w:pPr>
    <w:rPr>
      <w:sz w:val="18"/>
      <w:szCs w:val="18"/>
    </w:rPr>
  </w:style>
  <w:style w:type="paragraph" w:styleId="23">
    <w:name w:val="header"/>
    <w:basedOn w:val="1"/>
    <w:link w:val="68"/>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semiHidden/>
    <w:qFormat/>
    <w:uiPriority w:val="0"/>
    <w:pPr>
      <w:spacing w:line="440" w:lineRule="exact"/>
      <w:jc w:val="center"/>
    </w:pPr>
  </w:style>
  <w:style w:type="paragraph" w:styleId="25">
    <w:name w:val="footnote text"/>
    <w:basedOn w:val="1"/>
    <w:link w:val="46"/>
    <w:qFormat/>
    <w:uiPriority w:val="0"/>
    <w:pPr>
      <w:snapToGrid w:val="0"/>
      <w:jc w:val="left"/>
    </w:pPr>
    <w:rPr>
      <w:sz w:val="18"/>
      <w:szCs w:val="18"/>
    </w:rPr>
  </w:style>
  <w:style w:type="paragraph" w:styleId="26">
    <w:name w:val="Body Text Indent 3"/>
    <w:basedOn w:val="1"/>
    <w:qFormat/>
    <w:uiPriority w:val="0"/>
    <w:pPr>
      <w:spacing w:after="120"/>
      <w:ind w:left="420" w:leftChars="200"/>
    </w:pPr>
    <w:rPr>
      <w:sz w:val="16"/>
      <w:szCs w:val="16"/>
    </w:rPr>
  </w:style>
  <w:style w:type="paragraph" w:styleId="27">
    <w:name w:val="toc 2"/>
    <w:basedOn w:val="1"/>
    <w:next w:val="1"/>
    <w:semiHidden/>
    <w:qFormat/>
    <w:uiPriority w:val="0"/>
    <w:pPr>
      <w:ind w:left="420" w:leftChars="200"/>
    </w:pPr>
  </w:style>
  <w:style w:type="paragraph" w:styleId="28">
    <w:name w:val="Normal (Web)"/>
    <w:basedOn w:val="1"/>
    <w:qFormat/>
    <w:uiPriority w:val="0"/>
    <w:pPr>
      <w:widowControl/>
      <w:spacing w:before="100" w:after="100"/>
      <w:jc w:val="left"/>
    </w:pPr>
    <w:rPr>
      <w:rFonts w:hint="eastAsia" w:ascii="宋体" w:hAnsi="宋体"/>
      <w:kern w:val="0"/>
      <w:sz w:val="24"/>
      <w:szCs w:val="20"/>
    </w:rPr>
  </w:style>
  <w:style w:type="paragraph" w:styleId="29">
    <w:name w:val="index 1"/>
    <w:basedOn w:val="1"/>
    <w:next w:val="1"/>
    <w:semiHidden/>
    <w:qFormat/>
    <w:uiPriority w:val="0"/>
    <w:pPr>
      <w:spacing w:line="220" w:lineRule="exact"/>
      <w:jc w:val="center"/>
    </w:pPr>
    <w:rPr>
      <w:rFonts w:ascii="仿宋_GB2312" w:eastAsia="仿宋_GB2312"/>
      <w:szCs w:val="21"/>
    </w:rPr>
  </w:style>
  <w:style w:type="paragraph" w:styleId="30">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1">
    <w:name w:val="annotation subject"/>
    <w:basedOn w:val="14"/>
    <w:next w:val="14"/>
    <w:semiHidden/>
    <w:qFormat/>
    <w:uiPriority w:val="0"/>
    <w:rPr>
      <w:b/>
      <w:bCs/>
    </w:r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35">
    <w:name w:val="page number"/>
    <w:basedOn w:val="34"/>
    <w:qFormat/>
    <w:uiPriority w:val="0"/>
  </w:style>
  <w:style w:type="character" w:styleId="36">
    <w:name w:val="FollowedHyperlink"/>
    <w:qFormat/>
    <w:uiPriority w:val="99"/>
    <w:rPr>
      <w:color w:val="800080"/>
      <w:u w:val="single"/>
    </w:rPr>
  </w:style>
  <w:style w:type="character" w:styleId="37">
    <w:name w:val="Emphasis"/>
    <w:qFormat/>
    <w:uiPriority w:val="0"/>
    <w:rPr>
      <w:color w:val="CC0000"/>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character" w:customStyle="1" w:styleId="40">
    <w:name w:val="标题 2 Char"/>
    <w:link w:val="3"/>
    <w:qFormat/>
    <w:uiPriority w:val="0"/>
    <w:rPr>
      <w:rFonts w:ascii="Arial" w:hAnsi="Arial" w:eastAsia="黑体"/>
      <w:b/>
      <w:bCs/>
      <w:kern w:val="2"/>
      <w:sz w:val="32"/>
      <w:szCs w:val="32"/>
      <w:lang w:val="en-US" w:eastAsia="zh-CN" w:bidi="ar-SA"/>
    </w:rPr>
  </w:style>
  <w:style w:type="character" w:customStyle="1" w:styleId="41">
    <w:name w:val="标题 3 Char"/>
    <w:link w:val="6"/>
    <w:qFormat/>
    <w:uiPriority w:val="0"/>
    <w:rPr>
      <w:rFonts w:eastAsia="宋体"/>
      <w:b/>
      <w:bCs/>
      <w:kern w:val="2"/>
      <w:sz w:val="32"/>
      <w:szCs w:val="32"/>
      <w:lang w:val="en-US" w:eastAsia="zh-CN" w:bidi="ar-SA"/>
    </w:rPr>
  </w:style>
  <w:style w:type="character" w:customStyle="1" w:styleId="42">
    <w:name w:val="font161"/>
    <w:qFormat/>
    <w:uiPriority w:val="0"/>
    <w:rPr>
      <w:b/>
      <w:bCs/>
      <w:sz w:val="32"/>
      <w:szCs w:val="32"/>
    </w:rPr>
  </w:style>
  <w:style w:type="character" w:customStyle="1" w:styleId="43">
    <w:name w:val="time2"/>
    <w:basedOn w:val="34"/>
    <w:qFormat/>
    <w:uiPriority w:val="0"/>
  </w:style>
  <w:style w:type="character" w:customStyle="1" w:styleId="44">
    <w:name w:val="正文文本 Char"/>
    <w:link w:val="5"/>
    <w:qFormat/>
    <w:uiPriority w:val="0"/>
    <w:rPr>
      <w:rFonts w:eastAsia="宋体"/>
      <w:kern w:val="2"/>
      <w:sz w:val="21"/>
      <w:szCs w:val="24"/>
      <w:lang w:val="en-US" w:eastAsia="zh-CN" w:bidi="ar-SA"/>
    </w:rPr>
  </w:style>
  <w:style w:type="character" w:customStyle="1" w:styleId="45">
    <w:name w:val="纯文本 Char"/>
    <w:link w:val="18"/>
    <w:qFormat/>
    <w:locked/>
    <w:uiPriority w:val="0"/>
    <w:rPr>
      <w:rFonts w:ascii="宋体" w:hAnsi="Courier New" w:eastAsia="宋体"/>
      <w:kern w:val="2"/>
      <w:sz w:val="21"/>
      <w:lang w:val="en-US" w:eastAsia="zh-CN" w:bidi="ar-SA"/>
    </w:rPr>
  </w:style>
  <w:style w:type="character" w:customStyle="1" w:styleId="46">
    <w:name w:val="脚注文本 Char"/>
    <w:link w:val="25"/>
    <w:qFormat/>
    <w:uiPriority w:val="0"/>
    <w:rPr>
      <w:rFonts w:eastAsia="宋体"/>
      <w:kern w:val="2"/>
      <w:sz w:val="18"/>
      <w:szCs w:val="18"/>
      <w:lang w:val="en-US" w:eastAsia="zh-CN" w:bidi="ar-SA"/>
    </w:rPr>
  </w:style>
  <w:style w:type="character" w:customStyle="1" w:styleId="47">
    <w:name w:val="正文缩进 Char"/>
    <w:link w:val="12"/>
    <w:qFormat/>
    <w:uiPriority w:val="0"/>
    <w:rPr>
      <w:kern w:val="2"/>
      <w:sz w:val="21"/>
      <w:szCs w:val="24"/>
    </w:rPr>
  </w:style>
  <w:style w:type="character" w:customStyle="1" w:styleId="48">
    <w:name w:val="cpb"/>
    <w:qFormat/>
    <w:uiPriority w:val="0"/>
    <w:rPr>
      <w:b/>
      <w:color w:val="FF0000"/>
    </w:rPr>
  </w:style>
  <w:style w:type="character" w:customStyle="1" w:styleId="49">
    <w:name w:val="纯文本 Char1"/>
    <w:qFormat/>
    <w:locked/>
    <w:uiPriority w:val="0"/>
    <w:rPr>
      <w:rFonts w:ascii="宋体" w:hAnsi="Courier New" w:eastAsia="宋体"/>
      <w:kern w:val="2"/>
      <w:sz w:val="21"/>
      <w:lang w:val="en-US" w:eastAsia="zh-CN" w:bidi="ar-SA"/>
    </w:rPr>
  </w:style>
  <w:style w:type="paragraph" w:customStyle="1" w:styleId="50">
    <w:name w:val="表格"/>
    <w:basedOn w:val="1"/>
    <w:qFormat/>
    <w:uiPriority w:val="0"/>
    <w:pPr>
      <w:jc w:val="center"/>
      <w:textAlignment w:val="center"/>
    </w:pPr>
    <w:rPr>
      <w:rFonts w:ascii="华文细黑" w:hAnsi="华文细黑"/>
      <w:kern w:val="0"/>
      <w:szCs w:val="20"/>
    </w:rPr>
  </w:style>
  <w:style w:type="paragraph" w:customStyle="1" w:styleId="51">
    <w:name w:val="z-Top of Form"/>
    <w:next w:val="1"/>
    <w:qFormat/>
    <w:uiPriority w:val="0"/>
    <w:pPr>
      <w:widowControl w:val="0"/>
      <w:pBdr>
        <w:bottom w:val="double" w:color="000000" w:sz="2" w:space="0"/>
      </w:pBdr>
      <w:autoSpaceDE w:val="0"/>
      <w:autoSpaceDN w:val="0"/>
      <w:adjustRightInd w:val="0"/>
      <w:jc w:val="center"/>
    </w:pPr>
    <w:rPr>
      <w:rFonts w:ascii="Arial" w:hAnsi="Arial" w:eastAsia="宋体" w:cs="Times New Roman"/>
      <w:vanish/>
      <w:sz w:val="16"/>
      <w:lang w:val="en-US" w:eastAsia="zh-CN" w:bidi="ar-SA"/>
    </w:rPr>
  </w:style>
  <w:style w:type="paragraph" w:customStyle="1" w:styleId="52">
    <w:name w:val="四级目录 Char Char Char Char Char"/>
    <w:next w:val="1"/>
    <w:qFormat/>
    <w:uiPriority w:val="0"/>
    <w:pPr>
      <w:spacing w:line="360" w:lineRule="auto"/>
      <w:ind w:left="200" w:leftChars="200"/>
    </w:pPr>
    <w:rPr>
      <w:rFonts w:ascii="Calibri" w:hAnsi="Calibri" w:eastAsia="宋体" w:cs="Times New Roman"/>
      <w:lang w:val="en-US" w:eastAsia="zh-CN" w:bidi="ar-SA"/>
    </w:rPr>
  </w:style>
  <w:style w:type="paragraph" w:customStyle="1" w:styleId="53">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内文正文"/>
    <w:basedOn w:val="1"/>
    <w:qFormat/>
    <w:uiPriority w:val="0"/>
    <w:pPr>
      <w:adjustRightInd w:val="0"/>
      <w:snapToGrid w:val="0"/>
      <w:spacing w:line="400" w:lineRule="atLeast"/>
      <w:ind w:firstLine="420" w:firstLineChars="200"/>
    </w:pPr>
    <w:rPr>
      <w:rFonts w:ascii="宋体" w:hAnsi="Calibri"/>
    </w:rPr>
  </w:style>
  <w:style w:type="paragraph" w:customStyle="1" w:styleId="55">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 w:type="paragraph" w:customStyle="1" w:styleId="57">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58">
    <w:name w:val="1"/>
    <w:basedOn w:val="1"/>
    <w:next w:val="1"/>
    <w:qFormat/>
    <w:uiPriority w:val="0"/>
  </w:style>
  <w:style w:type="paragraph" w:customStyle="1" w:styleId="5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60">
    <w:name w:val="Char Char Char"/>
    <w:basedOn w:val="1"/>
    <w:qFormat/>
    <w:uiPriority w:val="0"/>
    <w:rPr>
      <w:rFonts w:ascii="Tahoma" w:hAnsi="Tahoma"/>
      <w:sz w:val="24"/>
      <w:szCs w:val="20"/>
    </w:rPr>
  </w:style>
  <w:style w:type="paragraph" w:customStyle="1" w:styleId="61">
    <w:name w:val="reader-word-layer reader-word-s2-5"/>
    <w:basedOn w:val="1"/>
    <w:qFormat/>
    <w:uiPriority w:val="0"/>
    <w:pPr>
      <w:widowControl/>
      <w:spacing w:before="100" w:beforeAutospacing="1" w:after="100" w:afterAutospacing="1"/>
      <w:jc w:val="left"/>
    </w:pPr>
    <w:rPr>
      <w:rFonts w:ascii="宋体" w:hAnsi="宋体" w:cs="宋体"/>
      <w:kern w:val="0"/>
      <w:sz w:val="24"/>
    </w:rPr>
  </w:style>
  <w:style w:type="paragraph" w:customStyle="1" w:styleId="62">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3">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64">
    <w:name w:val="表格文字"/>
    <w:basedOn w:val="1"/>
    <w:qFormat/>
    <w:uiPriority w:val="0"/>
    <w:pPr>
      <w:adjustRightInd w:val="0"/>
      <w:spacing w:line="420" w:lineRule="atLeast"/>
      <w:jc w:val="left"/>
      <w:textAlignment w:val="baseline"/>
    </w:pPr>
    <w:rPr>
      <w:kern w:val="0"/>
      <w:szCs w:val="20"/>
    </w:rPr>
  </w:style>
  <w:style w:type="paragraph" w:customStyle="1" w:styleId="65">
    <w:name w:val="Char1 Char Char Char Char Char"/>
    <w:basedOn w:val="1"/>
    <w:qFormat/>
    <w:uiPriority w:val="0"/>
    <w:rPr>
      <w:rFonts w:ascii="Tahoma" w:hAnsi="Tahoma"/>
      <w:sz w:val="24"/>
      <w:szCs w:val="20"/>
    </w:rPr>
  </w:style>
  <w:style w:type="paragraph" w:customStyle="1" w:styleId="66">
    <w:name w:val="Char Char1 Char Char Char Char Char Char Char Char Char Char Char Char Char Char Char Char Char Char Char"/>
    <w:basedOn w:val="1"/>
    <w:qFormat/>
    <w:uiPriority w:val="0"/>
    <w:pPr>
      <w:widowControl/>
      <w:spacing w:after="160" w:line="240" w:lineRule="exact"/>
      <w:jc w:val="left"/>
    </w:pPr>
    <w:rPr>
      <w:rFonts w:ascii="Calibri" w:hAnsi="Calibri"/>
      <w:kern w:val="0"/>
      <w:sz w:val="22"/>
      <w:szCs w:val="22"/>
      <w:lang w:eastAsia="en-US" w:bidi="en-US"/>
    </w:rPr>
  </w:style>
  <w:style w:type="character" w:customStyle="1" w:styleId="67">
    <w:name w:val="页脚 Char"/>
    <w:link w:val="22"/>
    <w:qFormat/>
    <w:uiPriority w:val="99"/>
    <w:rPr>
      <w:kern w:val="2"/>
      <w:sz w:val="18"/>
      <w:szCs w:val="18"/>
    </w:rPr>
  </w:style>
  <w:style w:type="character" w:customStyle="1" w:styleId="68">
    <w:name w:val="页眉 Char"/>
    <w:link w:val="23"/>
    <w:qFormat/>
    <w:uiPriority w:val="0"/>
    <w:rPr>
      <w:kern w:val="2"/>
      <w:sz w:val="18"/>
      <w:szCs w:val="18"/>
    </w:rPr>
  </w:style>
  <w:style w:type="paragraph" w:customStyle="1" w:styleId="69">
    <w:name w:val="Plain Text1"/>
    <w:basedOn w:val="1"/>
    <w:qFormat/>
    <w:uiPriority w:val="0"/>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4F0EB3-11A5-483B-957C-B2FB23AE6AD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36</Pages>
  <Words>3331</Words>
  <Characters>18989</Characters>
  <Lines>158</Lines>
  <Paragraphs>44</Paragraphs>
  <TotalTime>1</TotalTime>
  <ScaleCrop>false</ScaleCrop>
  <LinksUpToDate>false</LinksUpToDate>
  <CharactersWithSpaces>22276</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2019-03-07T02:06:00Z</dcterms:created>
  <dc:creator>ZXD</dc:creator>
  <cp:lastModifiedBy>Zz</cp:lastModifiedBy>
  <cp:lastPrinted>2019-03-07T03:30:00Z</cp:lastPrinted>
  <dcterms:modified xsi:type="dcterms:W3CDTF">2019-06-06T07:42:28Z</dcterms:modified>
  <dc:title>监理范本</dc:title>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