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2A" w:rsidRDefault="004648CB">
      <w:pPr>
        <w:rPr>
          <w:rFonts w:ascii="Arial" w:hAnsi="Arial" w:cs="Arial"/>
          <w:b/>
          <w:bCs/>
          <w:kern w:val="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</w:t>
      </w:r>
    </w:p>
    <w:p w:rsidR="002F1D2A" w:rsidRDefault="004648CB">
      <w:pPr>
        <w:rPr>
          <w:rFonts w:ascii="宋体" w:hAnsi="宋体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     </w:t>
      </w:r>
    </w:p>
    <w:p w:rsidR="002F1D2A" w:rsidRDefault="004648CB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采购项目：视频会议系统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24"/>
        </w:rPr>
        <w:t xml:space="preserve">    </w:t>
      </w:r>
      <w:r w:rsidR="006B240D">
        <w:rPr>
          <w:rFonts w:ascii="宋体" w:hAnsi="宋体" w:hint="eastAsia"/>
          <w:b/>
          <w:bCs/>
          <w:color w:val="000000"/>
          <w:sz w:val="24"/>
        </w:rPr>
        <w:t>（扩容一个会场）</w:t>
      </w:r>
      <w:r>
        <w:rPr>
          <w:rFonts w:ascii="宋体" w:hAnsi="宋体" w:hint="eastAsia"/>
          <w:b/>
          <w:bCs/>
          <w:color w:val="000000"/>
          <w:sz w:val="24"/>
        </w:rPr>
        <w:t xml:space="preserve">     </w:t>
      </w:r>
    </w:p>
    <w:p w:rsidR="006B240D" w:rsidRPr="006B240D" w:rsidRDefault="006B240D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预算 4.5万</w:t>
      </w:r>
    </w:p>
    <w:tbl>
      <w:tblPr>
        <w:tblStyle w:val="a5"/>
        <w:tblW w:w="8970" w:type="dxa"/>
        <w:tblInd w:w="-171" w:type="dxa"/>
        <w:tblLayout w:type="fixed"/>
        <w:tblLook w:val="04A0"/>
      </w:tblPr>
      <w:tblGrid>
        <w:gridCol w:w="720"/>
        <w:gridCol w:w="1155"/>
        <w:gridCol w:w="5700"/>
        <w:gridCol w:w="705"/>
        <w:gridCol w:w="690"/>
      </w:tblGrid>
      <w:tr w:rsidR="002F1D2A">
        <w:trPr>
          <w:trHeight w:val="9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2F1D2A">
        <w:trPr>
          <w:trHeight w:val="1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分会场高清会议终端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44567" w:rsidRDefault="00044567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与我院原有视频会议系统兼容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终端需与MCU为同一品牌；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★采用嵌入式硬件一体化结构，内置1080p高清摄像头，部署便捷；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会议速率支持128Kbps—8Mbps；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支持ITU-T H.323和IETF SIP通信标准；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支持H.263、H.264、H.264 High Profile、MPEG4等视频编解码协议；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支持G.711、G.722、G.728、G.722.1AnnexC、G.719、MPEG4-AAC LC/LD等音频协议，可达到20KHz以上的宽频效果；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支持H.239标准双流协议；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内置高清PTZ摄像机，支持12倍光学变焦，支持不小于72°水平广角视野，水平转动角度不小于±100°、垂直不小于±30°；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★除内置摄像机外，还需独立提供不少于1路视频输入、2路视频输出接口、1路10/100M以太网接口，不得采用私有非标接口或转接线缆实现；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支持1080p60高清视频解码、支持1080p30高清视频编码，并向下兼容4CIF、CIF标清图像格式；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支持动态图像双流和PC图像双流两种功能，在保证主流视频1080p30fps前提下，第二路视频流不低于1080p30fps；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支持申请发言、申请主席等功能，主席终端可广播发言会场、视频选看、控制远端摄像机、邀请终端入会、强制终端退会、结束会议等功能；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支持在终端控制软件对本地和远端会场图像进行实时监控及预览；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具备较强的网络抗丢包能力，在IP网络达到12%丢包时声音清晰、图像流畅、无马赛克，25%的丢包率情况下会议仍可进行；</w:t>
            </w:r>
          </w:p>
          <w:p w:rsidR="002F1D2A" w:rsidRDefault="004648CB">
            <w:pPr>
              <w:numPr>
                <w:ilvl w:val="0"/>
                <w:numId w:val="4"/>
              </w:num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  <w:lang w:bidi="en-US"/>
              </w:rPr>
              <w:t>★提供产品3C认证、电信设备入网证；提供产品3C认证、电信设备入网证、RoHS证书复印件，为确保产品成熟稳定,设备入网时间不少于12个月（以电信设备入网证时间为准）；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</w:tr>
      <w:tr w:rsidR="002F1D2A">
        <w:trPr>
          <w:trHeight w:val="161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4648CB" w:rsidP="0022275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系统集成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222758">
            <w:pPr>
              <w:rPr>
                <w:rFonts w:ascii="仿宋_GB2312" w:eastAsia="仿宋_GB2312" w:hAnsi="宋体" w:cs="Arial"/>
                <w:color w:val="000000"/>
              </w:rPr>
            </w:pPr>
            <w:r>
              <w:rPr>
                <w:rFonts w:ascii="仿宋_GB2312" w:eastAsia="仿宋_GB2312" w:hAnsi="宋体" w:cs="Arial" w:hint="eastAsia"/>
                <w:color w:val="000000"/>
              </w:rPr>
              <w:t>系统交工工程：包含</w:t>
            </w:r>
            <w:r w:rsidR="004648CB">
              <w:rPr>
                <w:rFonts w:ascii="仿宋_GB2312" w:eastAsia="仿宋_GB2312" w:hAnsi="宋体" w:cs="Arial" w:hint="eastAsia"/>
                <w:color w:val="000000"/>
              </w:rPr>
              <w:t>各类高清视频线，人工费等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2F1D2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D2A" w:rsidRDefault="002F1D2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2F1D2A" w:rsidRDefault="002F1D2A"/>
    <w:sectPr w:rsidR="002F1D2A" w:rsidSect="002F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9F" w:rsidRDefault="00737F9F" w:rsidP="006B240D">
      <w:r>
        <w:separator/>
      </w:r>
    </w:p>
  </w:endnote>
  <w:endnote w:type="continuationSeparator" w:id="1">
    <w:p w:rsidR="00737F9F" w:rsidRDefault="00737F9F" w:rsidP="006B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9F" w:rsidRDefault="00737F9F" w:rsidP="006B240D">
      <w:r>
        <w:separator/>
      </w:r>
    </w:p>
  </w:footnote>
  <w:footnote w:type="continuationSeparator" w:id="1">
    <w:p w:rsidR="00737F9F" w:rsidRDefault="00737F9F" w:rsidP="006B2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C339"/>
    <w:multiLevelType w:val="multilevel"/>
    <w:tmpl w:val="0815C339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C2AE9"/>
    <w:multiLevelType w:val="multilevel"/>
    <w:tmpl w:val="168C2A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B62668"/>
    <w:multiLevelType w:val="multilevel"/>
    <w:tmpl w:val="20B62668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416446"/>
    <w:multiLevelType w:val="singleLevel"/>
    <w:tmpl w:val="414164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E66C58D"/>
    <w:multiLevelType w:val="singleLevel"/>
    <w:tmpl w:val="6E66C5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56E"/>
    <w:rsid w:val="000348A1"/>
    <w:rsid w:val="00044567"/>
    <w:rsid w:val="0005229C"/>
    <w:rsid w:val="000A313F"/>
    <w:rsid w:val="00222758"/>
    <w:rsid w:val="002267AC"/>
    <w:rsid w:val="00236CF0"/>
    <w:rsid w:val="00276781"/>
    <w:rsid w:val="002B5B37"/>
    <w:rsid w:val="002F1D2A"/>
    <w:rsid w:val="002F2AAF"/>
    <w:rsid w:val="0036632D"/>
    <w:rsid w:val="003A2357"/>
    <w:rsid w:val="003C531B"/>
    <w:rsid w:val="004648CB"/>
    <w:rsid w:val="0053638B"/>
    <w:rsid w:val="0058056E"/>
    <w:rsid w:val="0062650B"/>
    <w:rsid w:val="006B240D"/>
    <w:rsid w:val="00737F9F"/>
    <w:rsid w:val="007B40A2"/>
    <w:rsid w:val="007D6431"/>
    <w:rsid w:val="00837CD4"/>
    <w:rsid w:val="00B60562"/>
    <w:rsid w:val="00C8039E"/>
    <w:rsid w:val="00CD3B29"/>
    <w:rsid w:val="00D33BE4"/>
    <w:rsid w:val="00D93D3C"/>
    <w:rsid w:val="00E11DFA"/>
    <w:rsid w:val="00EF034A"/>
    <w:rsid w:val="00F93B6C"/>
    <w:rsid w:val="1CAB6387"/>
    <w:rsid w:val="21962081"/>
    <w:rsid w:val="22E139DF"/>
    <w:rsid w:val="25B2644D"/>
    <w:rsid w:val="25EB572D"/>
    <w:rsid w:val="32D17217"/>
    <w:rsid w:val="34AA43B0"/>
    <w:rsid w:val="501D1140"/>
    <w:rsid w:val="55D94ECC"/>
    <w:rsid w:val="5EC9796F"/>
    <w:rsid w:val="60C5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F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F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F1D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F1D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F1D2A"/>
    <w:rPr>
      <w:sz w:val="18"/>
      <w:szCs w:val="18"/>
    </w:rPr>
  </w:style>
  <w:style w:type="paragraph" w:styleId="a6">
    <w:name w:val="List Paragraph"/>
    <w:basedOn w:val="a"/>
    <w:uiPriority w:val="34"/>
    <w:qFormat/>
    <w:rsid w:val="002F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CBA37-4ADD-484B-B3D4-8110FE18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Lois</cp:lastModifiedBy>
  <cp:revision>7</cp:revision>
  <dcterms:created xsi:type="dcterms:W3CDTF">2017-05-15T08:47:00Z</dcterms:created>
  <dcterms:modified xsi:type="dcterms:W3CDTF">2019-03-04T07:47:00Z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