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宋体" w:hAnsi="宋体" w:cs="宋体"/>
          <w:b/>
          <w:kern w:val="0"/>
          <w:sz w:val="30"/>
          <w:szCs w:val="30"/>
          <w:shd w:val="clear" w:color="auto" w:fill="FFFFFF"/>
        </w:rPr>
      </w:pPr>
      <w:r>
        <w:rPr>
          <w:rFonts w:hint="eastAsia" w:ascii="宋体" w:hAnsi="宋体" w:cs="宋体"/>
          <w:kern w:val="0"/>
          <w:sz w:val="27"/>
          <w:szCs w:val="27"/>
          <w:shd w:val="clear" w:color="auto" w:fill="FFFFFF"/>
        </w:rPr>
        <w:t xml:space="preserve">          </w:t>
      </w:r>
      <w:r>
        <w:rPr>
          <w:rFonts w:ascii="宋体" w:hAnsi="宋体" w:cs="宋体"/>
          <w:kern w:val="0"/>
          <w:sz w:val="27"/>
          <w:szCs w:val="27"/>
          <w:shd w:val="clear" w:color="auto" w:fill="FFFFFF"/>
        </w:rPr>
        <w:t xml:space="preserve">  </w:t>
      </w:r>
      <w:r>
        <w:rPr>
          <w:rFonts w:hint="eastAsia" w:ascii="宋体" w:hAnsi="宋体" w:cs="宋体"/>
          <w:b/>
          <w:color w:val="333333"/>
          <w:kern w:val="0"/>
          <w:sz w:val="30"/>
          <w:szCs w:val="30"/>
          <w:shd w:val="clear" w:color="auto" w:fill="FFFFFF"/>
        </w:rPr>
        <w:t>医院病理诊断业务</w:t>
      </w:r>
      <w:r>
        <w:rPr>
          <w:rFonts w:hint="eastAsia" w:ascii="宋体" w:hAnsi="宋体" w:cs="宋体"/>
          <w:b/>
          <w:kern w:val="0"/>
          <w:sz w:val="30"/>
          <w:szCs w:val="30"/>
          <w:shd w:val="clear" w:color="auto" w:fill="FFFFFF"/>
        </w:rPr>
        <w:t>招标细则</w:t>
      </w:r>
    </w:p>
    <w:p>
      <w:pPr>
        <w:widowControl/>
        <w:shd w:val="clear" w:color="auto" w:fill="FFFFFF"/>
        <w:jc w:val="left"/>
        <w:rPr>
          <w:rFonts w:ascii="宋体" w:hAnsi="宋体" w:cs="宋体"/>
          <w:b/>
          <w:kern w:val="0"/>
          <w:sz w:val="30"/>
          <w:szCs w:val="30"/>
          <w:shd w:val="clear" w:color="auto" w:fill="FFFFFF"/>
        </w:rPr>
      </w:pPr>
    </w:p>
    <w:p>
      <w:pPr>
        <w:widowControl/>
        <w:shd w:val="clear" w:color="auto" w:fill="FFFFFF"/>
        <w:spacing w:line="360" w:lineRule="auto"/>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一、投标人资格要求</w:t>
      </w:r>
    </w:p>
    <w:p>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1.</w:t>
      </w:r>
      <w:r>
        <w:rPr>
          <w:rFonts w:ascii="宋体" w:hAnsi="宋体" w:cs="宋体"/>
          <w:kern w:val="0"/>
          <w:szCs w:val="21"/>
          <w:shd w:val="clear" w:color="auto" w:fill="FFFFFF"/>
        </w:rPr>
        <w:t>具有独立法人资格的，</w:t>
      </w:r>
      <w:r>
        <w:rPr>
          <w:rFonts w:hint="eastAsia" w:ascii="宋体" w:hAnsi="宋体" w:cs="宋体"/>
          <w:kern w:val="0"/>
          <w:szCs w:val="21"/>
          <w:shd w:val="clear" w:color="auto" w:fill="FFFFFF"/>
        </w:rPr>
        <w:t>相应的经营范围（经营范围必须包含病理科诊疗项目），并提供三证合一的企业法人营业执照副本复印件；</w:t>
      </w:r>
    </w:p>
    <w:p>
      <w:pPr>
        <w:widowControl/>
        <w:shd w:val="clear" w:color="auto" w:fill="FFFFFF"/>
        <w:spacing w:line="360" w:lineRule="auto"/>
        <w:rPr>
          <w:rFonts w:ascii="宋体" w:hAns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.需具有省、市卫生行政部门发证的独立医学检验机构</w:t>
      </w:r>
      <w:r>
        <w:rPr>
          <w:rFonts w:ascii="宋体" w:hAnsi="宋体" w:cs="宋体"/>
          <w:kern w:val="0"/>
          <w:szCs w:val="21"/>
          <w:shd w:val="clear" w:color="auto" w:fill="FFFFFF"/>
        </w:rPr>
        <w:t>，提供有效的《医疗机构执业许可证》</w:t>
      </w:r>
      <w:r>
        <w:rPr>
          <w:rFonts w:hint="eastAsia" w:ascii="宋体" w:hAnsi="宋体" w:cs="宋体"/>
          <w:kern w:val="0"/>
          <w:szCs w:val="21"/>
          <w:shd w:val="clear" w:color="auto" w:fill="FFFFFF"/>
        </w:rPr>
        <w:t>原件及副本</w:t>
      </w:r>
      <w:r>
        <w:rPr>
          <w:rFonts w:ascii="宋体" w:hAnsi="宋体" w:cs="宋体"/>
          <w:kern w:val="0"/>
          <w:szCs w:val="21"/>
          <w:shd w:val="clear" w:color="auto" w:fill="FFFFFF"/>
        </w:rPr>
        <w:t>复印件</w:t>
      </w:r>
      <w:r>
        <w:rPr>
          <w:rFonts w:hint="eastAsia" w:ascii="宋体" w:hAnsi="宋体" w:cs="宋体"/>
          <w:kern w:val="0"/>
          <w:szCs w:val="21"/>
          <w:shd w:val="clear" w:color="auto" w:fill="FFFFFF"/>
        </w:rPr>
        <w:t>；</w:t>
      </w:r>
    </w:p>
    <w:p>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3.</w:t>
      </w:r>
      <w:r>
        <w:rPr>
          <w:rFonts w:ascii="宋体" w:hAnsi="宋体" w:cs="宋体"/>
          <w:kern w:val="0"/>
          <w:szCs w:val="21"/>
          <w:shd w:val="clear" w:color="auto" w:fill="FFFFFF"/>
        </w:rPr>
        <w:t>具备履行合同、提供</w:t>
      </w:r>
      <w:r>
        <w:rPr>
          <w:rFonts w:hint="eastAsia" w:ascii="宋体" w:hAnsi="宋体" w:cs="宋体"/>
          <w:kern w:val="0"/>
          <w:szCs w:val="21"/>
          <w:shd w:val="clear" w:color="auto" w:fill="FFFFFF"/>
        </w:rPr>
        <w:t>病理及分子</w:t>
      </w:r>
      <w:r>
        <w:rPr>
          <w:rFonts w:ascii="宋体" w:hAnsi="宋体" w:cs="宋体"/>
          <w:kern w:val="0"/>
          <w:szCs w:val="21"/>
          <w:shd w:val="clear" w:color="auto" w:fill="FFFFFF"/>
        </w:rPr>
        <w:t>检</w:t>
      </w:r>
      <w:r>
        <w:rPr>
          <w:rFonts w:hint="eastAsia" w:ascii="宋体" w:hAnsi="宋体" w:cs="宋体"/>
          <w:kern w:val="0"/>
          <w:szCs w:val="21"/>
          <w:shd w:val="clear" w:color="auto" w:fill="FFFFFF"/>
        </w:rPr>
        <w:t>测</w:t>
      </w:r>
      <w:r>
        <w:rPr>
          <w:rFonts w:ascii="宋体" w:hAnsi="宋体" w:cs="宋体"/>
          <w:kern w:val="0"/>
          <w:szCs w:val="21"/>
          <w:shd w:val="clear" w:color="auto" w:fill="FFFFFF"/>
        </w:rPr>
        <w:t>服务所必需的专业技术能力的证明材料，</w:t>
      </w:r>
      <w:r>
        <w:rPr>
          <w:rFonts w:hint="eastAsia" w:ascii="宋体" w:hAnsi="宋体" w:cs="宋体"/>
          <w:kern w:val="0"/>
          <w:szCs w:val="21"/>
          <w:shd w:val="clear" w:color="auto" w:fill="FFFFFF"/>
        </w:rPr>
        <w:t>包括临床基因扩增检验实验室《技术审核验收合格证书》；</w:t>
      </w:r>
    </w:p>
    <w:p>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4.投标人是</w:t>
      </w:r>
      <w:r>
        <w:rPr>
          <w:rFonts w:ascii="宋体" w:hAnsi="宋体" w:cs="宋体"/>
          <w:kern w:val="0"/>
          <w:szCs w:val="21"/>
          <w:shd w:val="clear" w:color="auto" w:fill="FFFFFF"/>
        </w:rPr>
        <w:t>在中华人民共和国境内注册</w:t>
      </w:r>
      <w:r>
        <w:rPr>
          <w:rFonts w:hint="eastAsia" w:ascii="宋体" w:hAnsi="宋体" w:cs="宋体"/>
          <w:kern w:val="0"/>
          <w:szCs w:val="21"/>
          <w:shd w:val="clear" w:color="auto" w:fill="FFFFFF"/>
        </w:rPr>
        <w:t>企业，提供检察院开具的在有效期内的《</w:t>
      </w:r>
      <w:r>
        <w:rPr>
          <w:rFonts w:hint="eastAsia" w:ascii="宋体" w:hAnsi="宋体" w:cs="宋体"/>
          <w:kern w:val="0"/>
          <w:szCs w:val="21"/>
          <w:shd w:val="clear" w:color="auto" w:fill="FFFFFF"/>
          <w:lang w:eastAsia="zh-CN"/>
        </w:rPr>
        <w:t>检察</w:t>
      </w:r>
      <w:r>
        <w:rPr>
          <w:rFonts w:hint="eastAsia" w:ascii="宋体" w:hAnsi="宋体" w:cs="宋体"/>
          <w:kern w:val="0"/>
          <w:szCs w:val="21"/>
          <w:shd w:val="clear" w:color="auto" w:fill="FFFFFF"/>
        </w:rPr>
        <w:t>机关行贿犯罪档案查询结果告知涵》原</w:t>
      </w:r>
      <w:r>
        <w:rPr>
          <w:rFonts w:hint="eastAsia" w:ascii="宋体" w:hAnsi="宋体" w:cs="宋体"/>
          <w:kern w:val="0"/>
          <w:szCs w:val="21"/>
          <w:shd w:val="clear" w:color="auto" w:fill="FFFFFF"/>
          <w:lang w:val="en-US" w:eastAsia="zh-CN"/>
        </w:rPr>
        <w:t>件</w:t>
      </w:r>
      <w:r>
        <w:rPr>
          <w:rFonts w:hint="eastAsia" w:ascii="宋体" w:hAnsi="宋体" w:cs="宋体"/>
          <w:kern w:val="0"/>
          <w:szCs w:val="21"/>
          <w:shd w:val="clear" w:color="auto" w:fill="FFFFFF"/>
        </w:rPr>
        <w:t>或复印件；</w:t>
      </w:r>
    </w:p>
    <w:p>
      <w:pPr>
        <w:widowControl/>
        <w:shd w:val="clear" w:color="auto" w:fill="FFFFFF"/>
        <w:spacing w:line="360" w:lineRule="auto"/>
        <w:rPr>
          <w:rFonts w:ascii="宋体" w:hAnsi="宋体" w:cs="宋体"/>
          <w:kern w:val="0"/>
          <w:sz w:val="28"/>
          <w:szCs w:val="28"/>
          <w:shd w:val="clear" w:color="auto" w:fill="FFFFFF"/>
        </w:rPr>
      </w:pPr>
    </w:p>
    <w:p>
      <w:pPr>
        <w:widowControl/>
        <w:shd w:val="clear" w:color="auto" w:fill="FFFFFF"/>
        <w:spacing w:line="360" w:lineRule="auto"/>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二、技术服务要求</w:t>
      </w:r>
    </w:p>
    <w:p>
      <w:pPr>
        <w:widowControl/>
        <w:shd w:val="clear" w:color="auto" w:fill="FFFFFF"/>
        <w:spacing w:line="360" w:lineRule="auto"/>
        <w:rPr>
          <w:szCs w:val="21"/>
        </w:rPr>
      </w:pPr>
      <w:r>
        <w:rPr>
          <w:szCs w:val="21"/>
        </w:rPr>
        <w:t> </w:t>
      </w:r>
      <w:r>
        <w:rPr>
          <w:rFonts w:ascii="宋体" w:hAnsi="宋体" w:cs="宋体"/>
          <w:kern w:val="0"/>
          <w:szCs w:val="21"/>
          <w:shd w:val="clear" w:color="auto" w:fill="FFFFFF"/>
        </w:rPr>
        <w:t>1.</w:t>
      </w:r>
      <w:r>
        <w:rPr>
          <w:rFonts w:hint="eastAsia" w:ascii="宋体" w:hAnsi="宋体" w:cs="宋体"/>
          <w:kern w:val="0"/>
          <w:szCs w:val="21"/>
          <w:shd w:val="clear" w:color="auto" w:fill="FFFFFF"/>
        </w:rPr>
        <w:t>提供的病理检测外送服务项目包括：</w:t>
      </w:r>
      <w:r>
        <w:rPr>
          <w:rFonts w:hint="eastAsia" w:ascii="宋体" w:hAnsi="宋体" w:cs="宋体"/>
          <w:kern w:val="0"/>
          <w:szCs w:val="21"/>
          <w:shd w:val="clear" w:color="auto" w:fill="FFFFFF"/>
          <w:lang w:eastAsia="zh-CN"/>
        </w:rPr>
        <w:t>分子病理检测</w:t>
      </w:r>
      <w:r>
        <w:rPr>
          <w:rFonts w:hint="eastAsia" w:ascii="宋体" w:hAnsi="宋体" w:cs="宋体"/>
          <w:kern w:val="0"/>
          <w:szCs w:val="21"/>
          <w:shd w:val="clear" w:color="auto" w:fill="FFFFFF"/>
        </w:rPr>
        <w:t>、疑难病理会诊等。</w:t>
      </w:r>
    </w:p>
    <w:p>
      <w:pPr>
        <w:widowControl/>
        <w:spacing w:line="360" w:lineRule="atLeast"/>
        <w:ind w:left="720"/>
        <w:jc w:val="left"/>
        <w:rPr>
          <w:rFonts w:ascii="宋体" w:cs="宋体"/>
          <w:kern w:val="0"/>
          <w:szCs w:val="21"/>
        </w:rPr>
      </w:pPr>
      <w:r>
        <w:rPr>
          <w:rFonts w:hint="eastAsia" w:ascii="宋体" w:hAnsi="宋体" w:cs="宋体"/>
          <w:kern w:val="0"/>
          <w:szCs w:val="21"/>
        </w:rPr>
        <w:t>服务项目</w:t>
      </w:r>
    </w:p>
    <w:tbl>
      <w:tblPr>
        <w:tblStyle w:val="8"/>
        <w:tblW w:w="7755" w:type="dxa"/>
        <w:tblCellSpacing w:w="1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2"/>
        <w:gridCol w:w="3175"/>
        <w:gridCol w:w="1947"/>
        <w:gridCol w:w="1030"/>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27" w:type="dxa"/>
            <w:vAlign w:val="center"/>
          </w:tcPr>
          <w:p>
            <w:pPr>
              <w:widowControl/>
              <w:jc w:val="left"/>
              <w:rPr>
                <w:rFonts w:ascii="宋体" w:hAnsi="宋体" w:cs="宋体"/>
                <w:kern w:val="0"/>
                <w:szCs w:val="21"/>
              </w:rPr>
            </w:pPr>
            <w:r>
              <w:rPr>
                <w:rFonts w:hint="eastAsia" w:ascii="宋体" w:hAnsi="宋体" w:cs="宋体"/>
                <w:kern w:val="0"/>
                <w:szCs w:val="21"/>
              </w:rPr>
              <w:t>序号</w:t>
            </w:r>
            <w:r>
              <w:rPr>
                <w:rFonts w:ascii="宋体" w:hAnsi="宋体" w:cs="宋体"/>
                <w:kern w:val="0"/>
                <w:szCs w:val="21"/>
              </w:rPr>
              <w:t xml:space="preserve"> </w:t>
            </w:r>
          </w:p>
        </w:tc>
        <w:tc>
          <w:tcPr>
            <w:tcW w:w="3145" w:type="dxa"/>
            <w:vAlign w:val="center"/>
          </w:tcPr>
          <w:p>
            <w:pPr>
              <w:widowControl/>
              <w:jc w:val="left"/>
              <w:rPr>
                <w:rFonts w:ascii="宋体" w:hAnsi="宋体" w:cs="宋体"/>
                <w:kern w:val="0"/>
                <w:szCs w:val="21"/>
              </w:rPr>
            </w:pPr>
            <w:r>
              <w:rPr>
                <w:rFonts w:hint="eastAsia" w:ascii="宋体" w:hAnsi="宋体" w:cs="宋体"/>
                <w:kern w:val="0"/>
                <w:szCs w:val="21"/>
              </w:rPr>
              <w:t>项目名称</w:t>
            </w:r>
            <w:r>
              <w:rPr>
                <w:rFonts w:ascii="宋体" w:hAnsi="宋体" w:cs="宋体"/>
                <w:kern w:val="0"/>
                <w:szCs w:val="21"/>
              </w:rPr>
              <w:t xml:space="preserve"> </w:t>
            </w:r>
          </w:p>
        </w:tc>
        <w:tc>
          <w:tcPr>
            <w:tcW w:w="1917" w:type="dxa"/>
            <w:vAlign w:val="center"/>
          </w:tcPr>
          <w:p>
            <w:pPr>
              <w:widowControl/>
              <w:jc w:val="left"/>
              <w:rPr>
                <w:rFonts w:ascii="宋体" w:hAnsi="宋体" w:cs="宋体"/>
                <w:kern w:val="0"/>
                <w:szCs w:val="21"/>
              </w:rPr>
            </w:pPr>
            <w:r>
              <w:rPr>
                <w:rFonts w:hint="eastAsia" w:ascii="宋体" w:hAnsi="宋体" w:cs="宋体"/>
                <w:kern w:val="0"/>
                <w:szCs w:val="21"/>
              </w:rPr>
              <w:t>出报告的时间</w:t>
            </w:r>
            <w:r>
              <w:rPr>
                <w:rFonts w:ascii="宋体" w:hAnsi="宋体" w:cs="宋体"/>
                <w:kern w:val="0"/>
                <w:szCs w:val="21"/>
              </w:rPr>
              <w:t xml:space="preserve"> </w:t>
            </w:r>
          </w:p>
        </w:tc>
        <w:tc>
          <w:tcPr>
            <w:tcW w:w="1000"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eastAsia="zh-CN"/>
              </w:rPr>
              <w:t>业务占比</w:t>
            </w:r>
            <w:r>
              <w:rPr>
                <w:rFonts w:hint="eastAsia" w:ascii="宋体" w:hAnsi="宋体" w:cs="宋体"/>
                <w:kern w:val="0"/>
                <w:szCs w:val="21"/>
                <w:lang w:val="en-US" w:eastAsia="zh-CN"/>
              </w:rPr>
              <w:t>%</w:t>
            </w:r>
          </w:p>
        </w:tc>
        <w:tc>
          <w:tcPr>
            <w:tcW w:w="986" w:type="dxa"/>
            <w:vAlign w:val="center"/>
          </w:tcPr>
          <w:p>
            <w:pPr>
              <w:widowControl/>
              <w:jc w:val="left"/>
              <w:rPr>
                <w:rFonts w:ascii="宋体" w:hAnsi="宋体" w:cs="宋体"/>
                <w:kern w:val="0"/>
                <w:szCs w:val="21"/>
              </w:rPr>
            </w:pPr>
            <w:r>
              <w:rPr>
                <w:rFonts w:hint="eastAsia" w:ascii="宋体" w:hAnsi="宋体" w:cs="宋体"/>
                <w:kern w:val="0"/>
                <w:szCs w:val="21"/>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27" w:type="dxa"/>
            <w:vAlign w:val="center"/>
          </w:tcPr>
          <w:p>
            <w:pPr>
              <w:widowControl/>
              <w:jc w:val="left"/>
              <w:rPr>
                <w:rFonts w:ascii="宋体" w:cs="宋体"/>
                <w:kern w:val="0"/>
                <w:szCs w:val="21"/>
              </w:rPr>
            </w:pPr>
          </w:p>
        </w:tc>
        <w:tc>
          <w:tcPr>
            <w:tcW w:w="3145" w:type="dxa"/>
            <w:vAlign w:val="center"/>
          </w:tcPr>
          <w:p>
            <w:pPr>
              <w:widowControl/>
              <w:jc w:val="left"/>
              <w:rPr>
                <w:rFonts w:ascii="宋体" w:cs="宋体"/>
                <w:kern w:val="0"/>
                <w:szCs w:val="21"/>
              </w:rPr>
            </w:pPr>
            <w:r>
              <w:rPr>
                <w:rFonts w:hint="eastAsia" w:ascii="宋体" w:hAnsi="宋体" w:cs="宋体"/>
                <w:kern w:val="0"/>
                <w:szCs w:val="21"/>
              </w:rPr>
              <w:t>疑难病理会诊</w:t>
            </w:r>
          </w:p>
        </w:tc>
        <w:tc>
          <w:tcPr>
            <w:tcW w:w="1917" w:type="dxa"/>
            <w:vAlign w:val="center"/>
          </w:tcPr>
          <w:p>
            <w:pPr>
              <w:widowControl/>
              <w:jc w:val="left"/>
              <w:rPr>
                <w:rFonts w:ascii="宋体" w:cs="宋体"/>
                <w:kern w:val="0"/>
                <w:szCs w:val="21"/>
              </w:rPr>
            </w:pPr>
            <w:r>
              <w:rPr>
                <w:rFonts w:ascii="宋体" w:hAnsi="宋体" w:cs="宋体"/>
                <w:kern w:val="0"/>
                <w:szCs w:val="21"/>
              </w:rPr>
              <w:t>3-5</w:t>
            </w:r>
            <w:r>
              <w:rPr>
                <w:rFonts w:hint="eastAsia" w:ascii="宋体" w:hAnsi="宋体" w:cs="宋体"/>
                <w:kern w:val="0"/>
                <w:szCs w:val="21"/>
              </w:rPr>
              <w:t>个工作日</w:t>
            </w:r>
          </w:p>
        </w:tc>
        <w:tc>
          <w:tcPr>
            <w:tcW w:w="1000"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90%</w:t>
            </w:r>
          </w:p>
        </w:tc>
        <w:tc>
          <w:tcPr>
            <w:tcW w:w="986" w:type="dxa"/>
            <w:vAlign w:val="center"/>
          </w:tcPr>
          <w:p>
            <w:pPr>
              <w:widowControl/>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27" w:type="dxa"/>
            <w:vAlign w:val="center"/>
          </w:tcPr>
          <w:p>
            <w:pPr>
              <w:widowControl/>
              <w:jc w:val="left"/>
              <w:rPr>
                <w:rFonts w:ascii="宋体" w:cs="宋体"/>
                <w:kern w:val="0"/>
                <w:szCs w:val="21"/>
              </w:rPr>
            </w:pPr>
          </w:p>
        </w:tc>
        <w:tc>
          <w:tcPr>
            <w:tcW w:w="3145"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分子病理检测</w:t>
            </w:r>
          </w:p>
        </w:tc>
        <w:tc>
          <w:tcPr>
            <w:tcW w:w="1917" w:type="dxa"/>
            <w:vAlign w:val="center"/>
          </w:tcPr>
          <w:p>
            <w:pPr>
              <w:widowControl/>
              <w:jc w:val="left"/>
              <w:rPr>
                <w:rFonts w:ascii="宋体" w:cs="宋体"/>
                <w:kern w:val="0"/>
                <w:szCs w:val="21"/>
              </w:rPr>
            </w:pPr>
            <w:r>
              <w:rPr>
                <w:rFonts w:ascii="宋体" w:hAnsi="宋体" w:cs="宋体"/>
                <w:kern w:val="0"/>
                <w:szCs w:val="21"/>
              </w:rPr>
              <w:t>3-5</w:t>
            </w:r>
            <w:r>
              <w:rPr>
                <w:rFonts w:hint="eastAsia" w:ascii="宋体" w:hAnsi="宋体" w:cs="宋体"/>
                <w:kern w:val="0"/>
                <w:szCs w:val="21"/>
              </w:rPr>
              <w:t>个工作日</w:t>
            </w:r>
          </w:p>
        </w:tc>
        <w:tc>
          <w:tcPr>
            <w:tcW w:w="1000" w:type="dxa"/>
            <w:vAlign w:val="center"/>
          </w:tcPr>
          <w:p>
            <w:pPr>
              <w:widowControl/>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10%</w:t>
            </w:r>
          </w:p>
        </w:tc>
        <w:tc>
          <w:tcPr>
            <w:tcW w:w="986" w:type="dxa"/>
            <w:vAlign w:val="center"/>
          </w:tcPr>
          <w:p>
            <w:pPr>
              <w:widowControl/>
              <w:jc w:val="left"/>
              <w:rPr>
                <w:rFonts w:ascii="宋体" w:cs="宋体"/>
                <w:kern w:val="0"/>
                <w:szCs w:val="21"/>
              </w:rPr>
            </w:pPr>
          </w:p>
        </w:tc>
      </w:tr>
    </w:tbl>
    <w:p>
      <w:pPr>
        <w:widowControl/>
        <w:jc w:val="left"/>
        <w:rPr>
          <w:rFonts w:ascii="宋体" w:cs="宋体"/>
          <w:kern w:val="0"/>
          <w:szCs w:val="21"/>
        </w:rPr>
      </w:pPr>
      <w:r>
        <w:rPr>
          <w:rFonts w:ascii="宋体" w:cs="宋体"/>
          <w:kern w:val="0"/>
          <w:szCs w:val="21"/>
        </w:rPr>
        <w:t> </w:t>
      </w:r>
      <w:r>
        <w:rPr>
          <w:rFonts w:ascii="宋体" w:hAnsi="宋体" w:cs="宋体"/>
          <w:kern w:val="0"/>
          <w:szCs w:val="21"/>
        </w:rPr>
        <w:t xml:space="preserve">                                   </w:t>
      </w:r>
    </w:p>
    <w:p>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2，投标人有良好的病理实验室质控成绩，并提供相应检测项目室间质评证书。</w:t>
      </w:r>
    </w:p>
    <w:p>
      <w:pPr>
        <w:widowControl/>
        <w:shd w:val="clear" w:color="auto" w:fill="FFFFFF"/>
        <w:spacing w:line="360" w:lineRule="auto"/>
        <w:rPr>
          <w:rFonts w:ascii="宋体" w:hAns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提供疑难病理会诊服务，具备病理亚专科专家团队支持，专家有为投标人提供诊断的合作基础。需提供不少于3份投标单位抬头、主任医师专家亲笔签字的病理报告复印件，需涵盖软组织病理、淋巴瘤、骨肿瘤等病理专科。</w:t>
      </w:r>
    </w:p>
    <w:p>
      <w:pPr>
        <w:widowControl/>
        <w:shd w:val="clear" w:color="auto" w:fill="FFFFFF"/>
        <w:spacing w:line="360" w:lineRule="auto"/>
        <w:rPr>
          <w:rFonts w:ascii="宋体" w:hAns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、具备临床多学科诊断（M</w:t>
      </w:r>
      <w:r>
        <w:rPr>
          <w:rFonts w:ascii="宋体" w:hAnsi="宋体" w:cs="宋体"/>
          <w:kern w:val="0"/>
          <w:szCs w:val="21"/>
          <w:shd w:val="clear" w:color="auto" w:fill="FFFFFF"/>
        </w:rPr>
        <w:t>DT</w:t>
      </w:r>
      <w:r>
        <w:rPr>
          <w:rFonts w:hint="eastAsia" w:ascii="宋体" w:hAnsi="宋体" w:cs="宋体"/>
          <w:kern w:val="0"/>
          <w:szCs w:val="21"/>
          <w:shd w:val="clear" w:color="auto" w:fill="FFFFFF"/>
        </w:rPr>
        <w:t>）讨论所需的专科专家，要求提供专家清单。</w:t>
      </w:r>
    </w:p>
    <w:tbl>
      <w:tblPr>
        <w:tblStyle w:val="8"/>
        <w:tblW w:w="8229" w:type="dxa"/>
        <w:tblCellSpacing w:w="15" w:type="dxa"/>
        <w:tblInd w:w="-10" w:type="dxa"/>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
      <w:tblGrid>
        <w:gridCol w:w="574"/>
        <w:gridCol w:w="1560"/>
        <w:gridCol w:w="1701"/>
        <w:gridCol w:w="1417"/>
        <w:gridCol w:w="1276"/>
        <w:gridCol w:w="1701"/>
      </w:tblGrid>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9"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rFonts w:hint="eastAsia"/>
                <w:b/>
                <w:kern w:val="0"/>
                <w:szCs w:val="21"/>
              </w:rPr>
              <w:t>序号</w:t>
            </w:r>
          </w:p>
        </w:tc>
        <w:tc>
          <w:tcPr>
            <w:tcW w:w="153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rFonts w:hint="eastAsia"/>
                <w:b/>
                <w:kern w:val="0"/>
                <w:szCs w:val="21"/>
              </w:rPr>
              <w:t>姓名</w:t>
            </w:r>
          </w:p>
        </w:tc>
        <w:tc>
          <w:tcPr>
            <w:tcW w:w="1671"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rFonts w:hint="eastAsia"/>
                <w:b/>
                <w:kern w:val="0"/>
                <w:szCs w:val="21"/>
              </w:rPr>
              <w:t>职务</w:t>
            </w:r>
          </w:p>
        </w:tc>
        <w:tc>
          <w:tcPr>
            <w:tcW w:w="1387"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rFonts w:hint="eastAsia"/>
                <w:b/>
                <w:kern w:val="0"/>
                <w:szCs w:val="21"/>
              </w:rPr>
              <w:t>证书名称</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rFonts w:hint="eastAsia"/>
                <w:b/>
                <w:kern w:val="0"/>
                <w:szCs w:val="21"/>
              </w:rPr>
              <w:t>级别</w:t>
            </w:r>
          </w:p>
        </w:tc>
        <w:tc>
          <w:tcPr>
            <w:tcW w:w="165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rFonts w:hint="eastAsia"/>
                <w:b/>
                <w:kern w:val="0"/>
                <w:szCs w:val="21"/>
              </w:rPr>
              <w:t>专业</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9"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1</w:t>
            </w:r>
          </w:p>
        </w:tc>
        <w:tc>
          <w:tcPr>
            <w:tcW w:w="153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71"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387"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5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9"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2</w:t>
            </w:r>
          </w:p>
        </w:tc>
        <w:tc>
          <w:tcPr>
            <w:tcW w:w="153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71"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387"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5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9"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3</w:t>
            </w:r>
          </w:p>
        </w:tc>
        <w:tc>
          <w:tcPr>
            <w:tcW w:w="153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71"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387"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5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9"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4</w:t>
            </w:r>
          </w:p>
        </w:tc>
        <w:tc>
          <w:tcPr>
            <w:tcW w:w="1530"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71"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387"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246"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c>
          <w:tcPr>
            <w:tcW w:w="1656" w:type="dxa"/>
            <w:tcBorders>
              <w:top w:val="single" w:color="999999" w:sz="2" w:space="0"/>
              <w:left w:val="single" w:color="999999" w:sz="2" w:space="0"/>
              <w:bottom w:val="single" w:color="999999" w:sz="2"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kern w:val="0"/>
                <w:szCs w:val="21"/>
              </w:rPr>
              <w:t> </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529"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r>
              <w:rPr>
                <w:rFonts w:hint="eastAsia"/>
                <w:kern w:val="0"/>
                <w:szCs w:val="21"/>
              </w:rPr>
              <w:t>5</w:t>
            </w:r>
          </w:p>
        </w:tc>
        <w:tc>
          <w:tcPr>
            <w:tcW w:w="153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p>
        </w:tc>
        <w:tc>
          <w:tcPr>
            <w:tcW w:w="1671"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p>
        </w:tc>
        <w:tc>
          <w:tcPr>
            <w:tcW w:w="1387"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p>
        </w:tc>
        <w:tc>
          <w:tcPr>
            <w:tcW w:w="165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widowControl/>
              <w:spacing w:line="320" w:lineRule="atLeast"/>
              <w:jc w:val="left"/>
              <w:rPr>
                <w:kern w:val="0"/>
                <w:szCs w:val="21"/>
              </w:rPr>
            </w:pPr>
          </w:p>
        </w:tc>
      </w:tr>
    </w:tbl>
    <w:p>
      <w:pPr>
        <w:pStyle w:val="4"/>
        <w:widowControl/>
        <w:spacing w:line="360" w:lineRule="atLeast"/>
        <w:rPr>
          <w:sz w:val="21"/>
          <w:szCs w:val="21"/>
        </w:rPr>
      </w:pPr>
      <w:r>
        <w:rPr>
          <w:b/>
          <w:sz w:val="21"/>
          <w:szCs w:val="21"/>
        </w:rPr>
        <w:t> </w:t>
      </w:r>
    </w:p>
    <w:p>
      <w:pPr>
        <w:widowControl/>
        <w:shd w:val="clear" w:color="auto" w:fill="FFFFFF"/>
        <w:spacing w:line="360" w:lineRule="auto"/>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三、商务部分要求</w:t>
      </w:r>
    </w:p>
    <w:p>
      <w:pPr>
        <w:widowControl/>
        <w:shd w:val="clear" w:color="auto" w:fill="FFFFFF"/>
        <w:spacing w:line="360" w:lineRule="auto"/>
        <w:rPr>
          <w:rFonts w:ascii="宋体" w:hAnsi="宋体" w:cs="宋体"/>
          <w:kern w:val="0"/>
          <w:szCs w:val="21"/>
          <w:shd w:val="clear" w:color="auto" w:fill="FFFFFF"/>
        </w:rPr>
      </w:pPr>
      <w:r>
        <w:rPr>
          <w:rFonts w:ascii="宋体" w:hAnsi="宋体" w:cs="宋体"/>
          <w:kern w:val="0"/>
          <w:szCs w:val="21"/>
          <w:shd w:val="clear" w:color="auto" w:fill="FFFFFF"/>
        </w:rPr>
        <w:t>1.</w:t>
      </w:r>
      <w:r>
        <w:rPr>
          <w:rFonts w:hint="eastAsia" w:ascii="宋体" w:hAnsi="宋体" w:cs="宋体"/>
          <w:kern w:val="0"/>
          <w:szCs w:val="21"/>
          <w:shd w:val="clear" w:color="auto" w:fill="FFFFFF"/>
        </w:rPr>
        <w:t>投标机构需提供疑难病理会诊合作的浙江地区二甲及以上医院的名单，并至少提供1家浙江地区三甲医院疑难病理会诊合作的业绩证明（合同复印件和收入发票复印件）。</w:t>
      </w:r>
    </w:p>
    <w:p>
      <w:pPr>
        <w:widowControl/>
        <w:shd w:val="clear" w:color="auto" w:fill="FFFFFF"/>
        <w:spacing w:line="360" w:lineRule="auto"/>
        <w:rPr>
          <w:rFonts w:ascii="宋体" w:hAns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.具有依法缴纳税收和社会保障资金的良好记录，并提供相应证明。</w:t>
      </w:r>
    </w:p>
    <w:p>
      <w:pPr>
        <w:widowControl/>
        <w:shd w:val="clear" w:color="auto" w:fill="FFFFFF"/>
        <w:spacing w:line="360" w:lineRule="auto"/>
        <w:rPr>
          <w:rFonts w:ascii="宋体" w:hAns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.投标人在医疗机构内口碑良好，有两年以上执业经验，在最近三年内无骗取中标或严重违约或重大质量问题。</w:t>
      </w:r>
    </w:p>
    <w:p>
      <w:pPr>
        <w:pStyle w:val="4"/>
        <w:widowControl/>
        <w:spacing w:line="360" w:lineRule="atLeast"/>
        <w:rPr>
          <w:sz w:val="21"/>
          <w:szCs w:val="21"/>
        </w:rPr>
      </w:pPr>
    </w:p>
    <w:p>
      <w:pPr>
        <w:widowControl/>
        <w:shd w:val="clear" w:color="auto" w:fill="FFFFFF"/>
        <w:spacing w:line="360" w:lineRule="auto"/>
        <w:rPr>
          <w:szCs w:val="21"/>
        </w:rPr>
      </w:pPr>
      <w:r>
        <w:rPr>
          <w:szCs w:val="21"/>
        </w:rPr>
        <w:t>  </w:t>
      </w:r>
      <w:r>
        <w:rPr>
          <w:rFonts w:hint="eastAsia" w:ascii="宋体" w:hAnsi="宋体" w:cs="宋体"/>
          <w:kern w:val="0"/>
          <w:sz w:val="28"/>
          <w:szCs w:val="28"/>
          <w:shd w:val="clear" w:color="auto" w:fill="FFFFFF"/>
        </w:rPr>
        <w:t>四、报价部分</w:t>
      </w:r>
    </w:p>
    <w:p>
      <w:pPr>
        <w:widowControl/>
        <w:shd w:val="clear" w:color="auto" w:fill="FFFFFF"/>
        <w:spacing w:line="360" w:lineRule="auto"/>
        <w:rPr>
          <w:szCs w:val="21"/>
        </w:rPr>
      </w:pPr>
      <w:r>
        <w:rPr>
          <w:szCs w:val="21"/>
        </w:rPr>
        <w:t xml:space="preserve">     </w:t>
      </w:r>
      <w:r>
        <w:rPr>
          <w:rFonts w:hint="eastAsia" w:ascii="宋体" w:hAnsi="宋体" w:cs="宋体"/>
          <w:kern w:val="0"/>
          <w:szCs w:val="21"/>
          <w:shd w:val="clear" w:color="auto" w:fill="FFFFFF"/>
        </w:rPr>
        <w:t>报价要求：按现行的浙江省医疗机构医疗服务项目的收费标准明确折扣率。在合同执行期间，如遇收费标准调整，则按新标准根据投标人明确的折扣率执行。</w:t>
      </w:r>
    </w:p>
    <w:tbl>
      <w:tblPr>
        <w:tblStyle w:val="8"/>
        <w:tblW w:w="6953" w:type="dxa"/>
        <w:tblCellSpacing w:w="15" w:type="dxa"/>
        <w:tblInd w:w="-10" w:type="dxa"/>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
      <w:tblGrid>
        <w:gridCol w:w="1425"/>
        <w:gridCol w:w="3260"/>
        <w:gridCol w:w="2268"/>
      </w:tblGrid>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38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sz w:val="21"/>
                <w:szCs w:val="21"/>
              </w:rPr>
            </w:pPr>
            <w:r>
              <w:rPr>
                <w:rFonts w:hint="eastAsia"/>
                <w:sz w:val="21"/>
                <w:szCs w:val="21"/>
              </w:rPr>
              <w:t>项目</w:t>
            </w:r>
          </w:p>
        </w:tc>
        <w:tc>
          <w:tcPr>
            <w:tcW w:w="323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sz w:val="21"/>
                <w:szCs w:val="21"/>
              </w:rPr>
            </w:pPr>
            <w:r>
              <w:rPr>
                <w:rFonts w:hint="eastAsia"/>
                <w:sz w:val="21"/>
                <w:szCs w:val="21"/>
              </w:rPr>
              <w:t>报价（按收费标准的折扣报价）</w:t>
            </w:r>
          </w:p>
        </w:tc>
        <w:tc>
          <w:tcPr>
            <w:tcW w:w="2223"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sz w:val="21"/>
                <w:szCs w:val="21"/>
              </w:rPr>
            </w:pPr>
            <w:r>
              <w:rPr>
                <w:rFonts w:hint="eastAsia"/>
                <w:sz w:val="21"/>
                <w:szCs w:val="21"/>
              </w:rPr>
              <w:t>备注</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38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sz w:val="21"/>
                <w:szCs w:val="21"/>
              </w:rPr>
            </w:pPr>
            <w:r>
              <w:rPr>
                <w:rFonts w:hint="eastAsia"/>
                <w:sz w:val="21"/>
                <w:szCs w:val="21"/>
              </w:rPr>
              <w:t>病理项目</w:t>
            </w:r>
          </w:p>
        </w:tc>
        <w:tc>
          <w:tcPr>
            <w:tcW w:w="323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sz w:val="21"/>
                <w:szCs w:val="21"/>
              </w:rPr>
            </w:pPr>
            <w:r>
              <w:rPr>
                <w:sz w:val="21"/>
                <w:szCs w:val="21"/>
              </w:rPr>
              <w:t> </w:t>
            </w:r>
          </w:p>
        </w:tc>
        <w:tc>
          <w:tcPr>
            <w:tcW w:w="2223"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sz w:val="21"/>
                <w:szCs w:val="21"/>
              </w:rPr>
            </w:pPr>
            <w:r>
              <w:rPr>
                <w:sz w:val="21"/>
                <w:szCs w:val="21"/>
              </w:rPr>
              <w:t> </w:t>
            </w:r>
          </w:p>
        </w:tc>
      </w:tr>
    </w:tbl>
    <w:p>
      <w:pPr>
        <w:pStyle w:val="4"/>
        <w:widowControl/>
        <w:spacing w:line="360" w:lineRule="atLeast"/>
        <w:rPr>
          <w:sz w:val="21"/>
          <w:szCs w:val="21"/>
        </w:rPr>
      </w:pPr>
      <w:r>
        <w:rPr>
          <w:sz w:val="21"/>
          <w:szCs w:val="21"/>
        </w:rPr>
        <w:t> </w:t>
      </w:r>
    </w:p>
    <w:p>
      <w:pPr>
        <w:widowControl/>
        <w:shd w:val="clear" w:color="auto" w:fill="FFFFFF"/>
        <w:spacing w:line="360" w:lineRule="auto"/>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五、评标方法：</w:t>
      </w:r>
    </w:p>
    <w:p>
      <w:pPr>
        <w:pStyle w:val="4"/>
        <w:widowControl/>
        <w:spacing w:line="360" w:lineRule="atLeast"/>
        <w:ind w:firstLine="420" w:firstLineChars="200"/>
        <w:rPr>
          <w:sz w:val="21"/>
          <w:szCs w:val="21"/>
        </w:rPr>
      </w:pPr>
      <w:r>
        <w:rPr>
          <w:rFonts w:hint="eastAsia"/>
          <w:sz w:val="21"/>
          <w:szCs w:val="21"/>
        </w:rPr>
        <w:t>采用综合评分法，技术部分</w:t>
      </w:r>
      <w:r>
        <w:rPr>
          <w:sz w:val="21"/>
          <w:szCs w:val="21"/>
        </w:rPr>
        <w:t>55%</w:t>
      </w:r>
      <w:r>
        <w:rPr>
          <w:rFonts w:hint="eastAsia"/>
          <w:sz w:val="21"/>
          <w:szCs w:val="21"/>
        </w:rPr>
        <w:t>和商务部分</w:t>
      </w:r>
      <w:r>
        <w:rPr>
          <w:sz w:val="21"/>
          <w:szCs w:val="21"/>
        </w:rPr>
        <w:t>30%</w:t>
      </w:r>
      <w:r>
        <w:rPr>
          <w:rFonts w:hint="eastAsia"/>
          <w:sz w:val="21"/>
          <w:szCs w:val="21"/>
        </w:rPr>
        <w:t>，价格部分</w:t>
      </w:r>
      <w:r>
        <w:rPr>
          <w:sz w:val="21"/>
          <w:szCs w:val="21"/>
        </w:rPr>
        <w:t>15%</w:t>
      </w:r>
      <w:r>
        <w:rPr>
          <w:rFonts w:hint="eastAsia"/>
          <w:sz w:val="21"/>
          <w:szCs w:val="21"/>
        </w:rPr>
        <w:t>，评分按照下表评分细则。</w:t>
      </w:r>
    </w:p>
    <w:tbl>
      <w:tblPr>
        <w:tblStyle w:val="8"/>
        <w:tblW w:w="8229" w:type="dxa"/>
        <w:tblCellSpacing w:w="15" w:type="dxa"/>
        <w:tblInd w:w="-10" w:type="dxa"/>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
      <w:tblGrid>
        <w:gridCol w:w="1000"/>
        <w:gridCol w:w="850"/>
        <w:gridCol w:w="1276"/>
        <w:gridCol w:w="5103"/>
      </w:tblGrid>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55"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评审项目</w:t>
            </w:r>
          </w:p>
        </w:tc>
        <w:tc>
          <w:tcPr>
            <w:tcW w:w="82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标准分</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评审分项</w:t>
            </w:r>
          </w:p>
        </w:tc>
        <w:tc>
          <w:tcPr>
            <w:tcW w:w="5058"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内容说明</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55" w:type="dxa"/>
            <w:vMerge w:val="restart"/>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rPr>
                <w:rFonts w:asciiTheme="minorEastAsia" w:hAnsiTheme="minorEastAsia" w:eastAsiaTheme="minorEastAsia"/>
                <w:szCs w:val="21"/>
              </w:rPr>
            </w:pPr>
            <w:r>
              <w:rPr>
                <w:rFonts w:hint="eastAsia" w:asciiTheme="minorEastAsia" w:hAnsiTheme="minorEastAsia" w:eastAsiaTheme="minorEastAsia"/>
                <w:szCs w:val="21"/>
              </w:rPr>
              <w:t>技术部分</w:t>
            </w:r>
          </w:p>
        </w:tc>
        <w:tc>
          <w:tcPr>
            <w:tcW w:w="82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分</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室间质评情况</w:t>
            </w:r>
            <w:r>
              <w:rPr>
                <w:rFonts w:asciiTheme="minorEastAsia" w:hAnsiTheme="minorEastAsia" w:eastAsiaTheme="minorEastAsia"/>
                <w:sz w:val="21"/>
                <w:szCs w:val="21"/>
              </w:rPr>
              <w:t> </w:t>
            </w:r>
          </w:p>
        </w:tc>
        <w:tc>
          <w:tcPr>
            <w:tcW w:w="5058"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具有临床基因扩增实验室资质得</w:t>
            </w:r>
            <w:r>
              <w:rPr>
                <w:rFonts w:asciiTheme="minorEastAsia" w:hAnsiTheme="minorEastAsia" w:eastAsiaTheme="minorEastAsia"/>
                <w:sz w:val="21"/>
                <w:szCs w:val="21"/>
              </w:rPr>
              <w:t>10</w:t>
            </w:r>
            <w:r>
              <w:rPr>
                <w:rFonts w:hint="eastAsia" w:asciiTheme="minorEastAsia" w:hAnsiTheme="minorEastAsia" w:eastAsiaTheme="minorEastAsia"/>
                <w:sz w:val="21"/>
                <w:szCs w:val="21"/>
              </w:rPr>
              <w:t>分；室间质评验收合格证书每项得</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r>
              <w:rPr>
                <w:rFonts w:asciiTheme="minorEastAsia" w:hAnsiTheme="minorEastAsia" w:eastAsiaTheme="minorEastAsia"/>
                <w:sz w:val="21"/>
                <w:szCs w:val="21"/>
              </w:rPr>
              <w:t>HER2</w:t>
            </w:r>
            <w:r>
              <w:rPr>
                <w:rFonts w:hint="eastAsia" w:asciiTheme="minorEastAsia" w:hAnsiTheme="minorEastAsia" w:eastAsiaTheme="minorEastAsia"/>
                <w:sz w:val="21"/>
                <w:szCs w:val="21"/>
              </w:rPr>
              <w:t>，</w:t>
            </w:r>
            <w:r>
              <w:rPr>
                <w:rFonts w:asciiTheme="minorEastAsia" w:hAnsiTheme="minorEastAsia" w:eastAsiaTheme="minorEastAsia"/>
                <w:sz w:val="21"/>
                <w:szCs w:val="21"/>
              </w:rPr>
              <w:t>EML4-ALK</w:t>
            </w:r>
            <w:r>
              <w:rPr>
                <w:rFonts w:hint="eastAsia" w:asciiTheme="minorEastAsia" w:hAnsiTheme="minorEastAsia" w:eastAsiaTheme="minorEastAsia"/>
                <w:sz w:val="21"/>
                <w:szCs w:val="21"/>
              </w:rPr>
              <w:t>，</w:t>
            </w:r>
            <w:r>
              <w:rPr>
                <w:rFonts w:asciiTheme="minorEastAsia" w:hAnsiTheme="minorEastAsia" w:eastAsiaTheme="minorEastAsia"/>
                <w:sz w:val="21"/>
                <w:szCs w:val="21"/>
              </w:rPr>
              <w:t>BRAF</w:t>
            </w:r>
            <w:r>
              <w:rPr>
                <w:rFonts w:hint="eastAsia" w:asciiTheme="minorEastAsia" w:hAnsiTheme="minorEastAsia" w:eastAsiaTheme="minorEastAsia"/>
                <w:sz w:val="21"/>
                <w:szCs w:val="21"/>
              </w:rPr>
              <w:t>，</w:t>
            </w:r>
            <w:r>
              <w:rPr>
                <w:rFonts w:asciiTheme="minorEastAsia" w:hAnsiTheme="minorEastAsia" w:eastAsiaTheme="minorEastAsia"/>
                <w:sz w:val="21"/>
                <w:szCs w:val="21"/>
              </w:rPr>
              <w:t>KRAS</w:t>
            </w:r>
            <w:r>
              <w:rPr>
                <w:rFonts w:hint="eastAsia" w:asciiTheme="minorEastAsia" w:hAnsiTheme="minorEastAsia" w:eastAsiaTheme="minorEastAsia"/>
                <w:sz w:val="21"/>
                <w:szCs w:val="21"/>
              </w:rPr>
              <w:t>，</w:t>
            </w:r>
            <w:r>
              <w:rPr>
                <w:rFonts w:asciiTheme="minorEastAsia" w:hAnsiTheme="minorEastAsia" w:eastAsiaTheme="minorEastAsia"/>
                <w:sz w:val="21"/>
                <w:szCs w:val="21"/>
              </w:rPr>
              <w:t>EGFR</w:t>
            </w:r>
            <w:r>
              <w:rPr>
                <w:rFonts w:hint="eastAsia" w:asciiTheme="minorEastAsia" w:hAnsiTheme="minorEastAsia" w:eastAsiaTheme="minorEastAsia"/>
                <w:sz w:val="21"/>
                <w:szCs w:val="21"/>
              </w:rPr>
              <w:t>；</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55" w:type="dxa"/>
            <w:vMerge w:val="continue"/>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rPr>
                <w:rFonts w:asciiTheme="minorEastAsia" w:hAnsiTheme="minorEastAsia" w:eastAsiaTheme="minorEastAsia"/>
                <w:szCs w:val="21"/>
              </w:rPr>
            </w:pPr>
          </w:p>
        </w:tc>
        <w:tc>
          <w:tcPr>
            <w:tcW w:w="82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asciiTheme="minorEastAsia" w:hAnsiTheme="minorEastAsia" w:eastAsiaTheme="minorEastAsia"/>
                <w:sz w:val="21"/>
                <w:szCs w:val="21"/>
              </w:rPr>
              <w:t>10</w:t>
            </w:r>
            <w:r>
              <w:rPr>
                <w:rFonts w:hint="eastAsia" w:asciiTheme="minorEastAsia" w:hAnsiTheme="minorEastAsia" w:eastAsiaTheme="minorEastAsia"/>
                <w:sz w:val="21"/>
                <w:szCs w:val="21"/>
              </w:rPr>
              <w:t>分</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病理质控检查方案</w:t>
            </w:r>
          </w:p>
        </w:tc>
        <w:tc>
          <w:tcPr>
            <w:tcW w:w="5058"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评价为优得</w:t>
            </w:r>
            <w:r>
              <w:rPr>
                <w:rFonts w:asciiTheme="minorEastAsia" w:hAnsiTheme="minorEastAsia" w:eastAsiaTheme="minorEastAsia"/>
                <w:sz w:val="21"/>
                <w:szCs w:val="21"/>
              </w:rPr>
              <w:t>8-10</w:t>
            </w:r>
            <w:r>
              <w:rPr>
                <w:rFonts w:hint="eastAsia" w:asciiTheme="minorEastAsia" w:hAnsiTheme="minorEastAsia" w:eastAsiaTheme="minorEastAsia"/>
                <w:sz w:val="21"/>
                <w:szCs w:val="21"/>
              </w:rPr>
              <w:t>分，评价为良得</w:t>
            </w:r>
            <w:r>
              <w:rPr>
                <w:rFonts w:asciiTheme="minorEastAsia" w:hAnsiTheme="minorEastAsia" w:eastAsiaTheme="minorEastAsia"/>
                <w:sz w:val="21"/>
                <w:szCs w:val="21"/>
              </w:rPr>
              <w:t>6-8</w:t>
            </w:r>
            <w:r>
              <w:rPr>
                <w:rFonts w:hint="eastAsia" w:asciiTheme="minorEastAsia" w:hAnsiTheme="minorEastAsia" w:eastAsiaTheme="minorEastAsia"/>
                <w:sz w:val="21"/>
                <w:szCs w:val="21"/>
              </w:rPr>
              <w:t>分，评价为中得</w:t>
            </w:r>
            <w:r>
              <w:rPr>
                <w:rFonts w:asciiTheme="minorEastAsia" w:hAnsiTheme="minorEastAsia" w:eastAsiaTheme="minorEastAsia"/>
                <w:sz w:val="21"/>
                <w:szCs w:val="21"/>
              </w:rPr>
              <w:t>3-6</w:t>
            </w:r>
            <w:r>
              <w:rPr>
                <w:rFonts w:hint="eastAsia" w:asciiTheme="minorEastAsia" w:hAnsiTheme="minorEastAsia" w:eastAsiaTheme="minorEastAsia"/>
                <w:sz w:val="21"/>
                <w:szCs w:val="21"/>
              </w:rPr>
              <w:t>分数，评价为差不得分；</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55" w:type="dxa"/>
            <w:vMerge w:val="continue"/>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rPr>
                <w:rFonts w:asciiTheme="minorEastAsia" w:hAnsiTheme="minorEastAsia" w:eastAsiaTheme="minorEastAsia"/>
                <w:szCs w:val="21"/>
              </w:rPr>
            </w:pPr>
          </w:p>
        </w:tc>
        <w:tc>
          <w:tcPr>
            <w:tcW w:w="82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asciiTheme="minorEastAsia" w:hAnsiTheme="minorEastAsia" w:eastAsiaTheme="minorEastAsia"/>
                <w:sz w:val="21"/>
                <w:szCs w:val="21"/>
              </w:rPr>
              <w:t>25</w:t>
            </w:r>
            <w:r>
              <w:rPr>
                <w:rFonts w:hint="eastAsia" w:asciiTheme="minorEastAsia" w:hAnsiTheme="minorEastAsia" w:eastAsiaTheme="minorEastAsia"/>
                <w:sz w:val="21"/>
                <w:szCs w:val="21"/>
              </w:rPr>
              <w:t>分</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专家团队</w:t>
            </w:r>
          </w:p>
        </w:tc>
        <w:tc>
          <w:tcPr>
            <w:tcW w:w="5058"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提供投标单位抬头、主任医师专家</w:t>
            </w:r>
            <w:r>
              <w:rPr>
                <w:rFonts w:hint="eastAsia" w:asciiTheme="minorEastAsia" w:hAnsiTheme="minorEastAsia" w:eastAsiaTheme="minorEastAsia"/>
                <w:b/>
                <w:sz w:val="21"/>
                <w:szCs w:val="21"/>
              </w:rPr>
              <w:t>亲笔签字</w:t>
            </w:r>
            <w:r>
              <w:rPr>
                <w:rFonts w:hint="eastAsia" w:asciiTheme="minorEastAsia" w:hAnsiTheme="minorEastAsia" w:eastAsiaTheme="minorEastAsia"/>
                <w:sz w:val="21"/>
                <w:szCs w:val="21"/>
              </w:rPr>
              <w:t>的病理报告复印件，</w:t>
            </w:r>
            <w:r>
              <w:rPr>
                <w:rFonts w:hint="eastAsia" w:cs="宋体" w:asciiTheme="minorEastAsia" w:hAnsiTheme="minorEastAsia" w:eastAsiaTheme="minorEastAsia"/>
                <w:sz w:val="21"/>
                <w:szCs w:val="21"/>
                <w:shd w:val="clear" w:color="auto" w:fill="FFFFFF"/>
              </w:rPr>
              <w:t>其中需涵盖软组织病理、淋巴瘤、骨肿瘤病理专科，否则不得分。</w:t>
            </w:r>
            <w:r>
              <w:rPr>
                <w:rFonts w:hint="eastAsia" w:asciiTheme="minorEastAsia" w:hAnsiTheme="minorEastAsia" w:eastAsiaTheme="minorEastAsia"/>
                <w:sz w:val="21"/>
                <w:szCs w:val="21"/>
              </w:rPr>
              <w:t>每提供一个亚专科计3分。</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55" w:type="dxa"/>
            <w:vMerge w:val="restart"/>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asciiTheme="minorEastAsia" w:hAnsiTheme="minorEastAsia" w:eastAsiaTheme="minorEastAsia"/>
                <w:sz w:val="21"/>
                <w:szCs w:val="21"/>
              </w:rPr>
              <w:t> </w:t>
            </w:r>
          </w:p>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商务部分（</w:t>
            </w:r>
            <w:r>
              <w:rPr>
                <w:rFonts w:asciiTheme="minorEastAsia" w:hAnsiTheme="minorEastAsia" w:eastAsiaTheme="minorEastAsia"/>
                <w:sz w:val="21"/>
                <w:szCs w:val="21"/>
              </w:rPr>
              <w:t>30</w:t>
            </w:r>
            <w:r>
              <w:rPr>
                <w:rFonts w:hint="eastAsia" w:asciiTheme="minorEastAsia" w:hAnsiTheme="minorEastAsia" w:eastAsiaTheme="minorEastAsia"/>
                <w:sz w:val="21"/>
                <w:szCs w:val="21"/>
              </w:rPr>
              <w:t>分）</w:t>
            </w:r>
          </w:p>
        </w:tc>
        <w:tc>
          <w:tcPr>
            <w:tcW w:w="82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asciiTheme="minorEastAsia" w:hAnsiTheme="minorEastAsia" w:eastAsiaTheme="minorEastAsia"/>
                <w:sz w:val="21"/>
                <w:szCs w:val="21"/>
              </w:rPr>
              <w:t>10</w:t>
            </w:r>
            <w:r>
              <w:rPr>
                <w:rFonts w:hint="eastAsia" w:asciiTheme="minorEastAsia" w:hAnsiTheme="minorEastAsia" w:eastAsiaTheme="minorEastAsia"/>
                <w:sz w:val="21"/>
                <w:szCs w:val="21"/>
              </w:rPr>
              <w:t>分</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投标人资格情况及资质情况</w:t>
            </w:r>
          </w:p>
        </w:tc>
        <w:tc>
          <w:tcPr>
            <w:tcW w:w="5058"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投标人具备医疗机构执业许可证，且获得医疗机构执业许可证时间超过</w:t>
            </w:r>
            <w:r>
              <w:rPr>
                <w:rFonts w:asciiTheme="minorEastAsia" w:hAnsiTheme="minorEastAsia" w:eastAsiaTheme="minorEastAsia"/>
                <w:sz w:val="21"/>
                <w:szCs w:val="21"/>
              </w:rPr>
              <w:t>2</w:t>
            </w:r>
            <w:r>
              <w:rPr>
                <w:rFonts w:hint="eastAsia" w:asciiTheme="minorEastAsia" w:hAnsiTheme="minorEastAsia" w:eastAsiaTheme="minorEastAsia"/>
                <w:sz w:val="21"/>
                <w:szCs w:val="21"/>
              </w:rPr>
              <w:t>年，否则不得分。</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55" w:type="dxa"/>
            <w:vMerge w:val="continue"/>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rPr>
                <w:rFonts w:asciiTheme="minorEastAsia" w:hAnsiTheme="minorEastAsia" w:eastAsiaTheme="minorEastAsia"/>
                <w:szCs w:val="21"/>
              </w:rPr>
            </w:pPr>
          </w:p>
        </w:tc>
        <w:tc>
          <w:tcPr>
            <w:tcW w:w="82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分</w:t>
            </w:r>
          </w:p>
        </w:tc>
        <w:tc>
          <w:tcPr>
            <w:tcW w:w="1246"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机构实力</w:t>
            </w:r>
          </w:p>
        </w:tc>
        <w:tc>
          <w:tcPr>
            <w:tcW w:w="5058"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cs="宋体" w:asciiTheme="minorEastAsia" w:hAnsiTheme="minorEastAsia" w:eastAsiaTheme="minorEastAsia"/>
                <w:sz w:val="21"/>
                <w:szCs w:val="21"/>
                <w:shd w:val="clear" w:color="auto" w:fill="FFFFFF"/>
              </w:rPr>
              <w:t>至少提供一家浙江地区三甲医院疑难病理会诊合作的业绩证明，否则不得分。每提供一家浙江地区二甲及以上医院疑难病理会诊合作业绩证明计4分。</w:t>
            </w:r>
          </w:p>
        </w:tc>
      </w:tr>
      <w:tr>
        <w:tblPrEx>
          <w:tblBorders>
            <w:top w:val="single" w:color="999999" w:sz="6" w:space="0"/>
            <w:left w:val="single" w:color="999999" w:sz="6" w:space="0"/>
            <w:bottom w:val="single" w:color="999999" w:sz="2" w:space="0"/>
            <w:right w:val="single" w:color="999999" w:sz="2"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55"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价格部分（</w:t>
            </w:r>
            <w:r>
              <w:rPr>
                <w:rFonts w:asciiTheme="minorEastAsia" w:hAnsiTheme="minorEastAsia" w:eastAsiaTheme="minorEastAsia"/>
                <w:sz w:val="21"/>
                <w:szCs w:val="21"/>
              </w:rPr>
              <w:t>15</w:t>
            </w:r>
            <w:r>
              <w:rPr>
                <w:rFonts w:hint="eastAsia" w:asciiTheme="minorEastAsia" w:hAnsiTheme="minorEastAsia" w:eastAsiaTheme="minorEastAsia"/>
                <w:sz w:val="21"/>
                <w:szCs w:val="21"/>
              </w:rPr>
              <w:t>分）</w:t>
            </w:r>
          </w:p>
        </w:tc>
        <w:tc>
          <w:tcPr>
            <w:tcW w:w="820" w:type="dxa"/>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asciiTheme="minorEastAsia" w:hAnsiTheme="minorEastAsia" w:eastAsiaTheme="minorEastAsia"/>
                <w:sz w:val="21"/>
                <w:szCs w:val="21"/>
              </w:rPr>
              <w:t>15</w:t>
            </w:r>
            <w:r>
              <w:rPr>
                <w:rFonts w:hint="eastAsia" w:asciiTheme="minorEastAsia" w:hAnsiTheme="minorEastAsia" w:eastAsiaTheme="minorEastAsia"/>
                <w:sz w:val="21"/>
                <w:szCs w:val="21"/>
              </w:rPr>
              <w:t>分</w:t>
            </w:r>
          </w:p>
        </w:tc>
        <w:tc>
          <w:tcPr>
            <w:tcW w:w="6334" w:type="dxa"/>
            <w:gridSpan w:val="2"/>
            <w:tcBorders>
              <w:top w:val="single" w:color="999999" w:sz="2" w:space="0"/>
              <w:left w:val="single" w:color="999999" w:sz="2" w:space="0"/>
              <w:bottom w:val="single" w:color="999999" w:sz="6" w:space="0"/>
              <w:right w:val="single" w:color="999999" w:sz="6" w:space="0"/>
            </w:tcBorders>
            <w:tcMar>
              <w:top w:w="30" w:type="dxa"/>
              <w:left w:w="30" w:type="dxa"/>
              <w:bottom w:w="30" w:type="dxa"/>
              <w:right w:w="30" w:type="dxa"/>
            </w:tcMar>
            <w:vAlign w:val="center"/>
          </w:tcPr>
          <w:p>
            <w:pPr>
              <w:pStyle w:val="4"/>
              <w:widowControl/>
              <w:spacing w:line="320" w:lineRule="atLeast"/>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基础折</w:t>
            </w:r>
            <w:bookmarkStart w:id="0" w:name="_GoBack"/>
            <w:bookmarkEnd w:id="0"/>
            <w:r>
              <w:rPr>
                <w:rFonts w:hint="eastAsia" w:asciiTheme="minorEastAsia" w:hAnsiTheme="minorEastAsia" w:eastAsiaTheme="minorEastAsia"/>
                <w:sz w:val="21"/>
                <w:szCs w:val="21"/>
                <w:lang w:eastAsia="zh-CN"/>
              </w:rPr>
              <w:t>扣率为</w:t>
            </w:r>
            <w:r>
              <w:rPr>
                <w:rFonts w:hint="eastAsia" w:asciiTheme="minorEastAsia" w:hAnsiTheme="minorEastAsia" w:eastAsiaTheme="minorEastAsia"/>
                <w:sz w:val="21"/>
                <w:szCs w:val="21"/>
                <w:lang w:val="en-US" w:eastAsia="zh-CN"/>
              </w:rPr>
              <w:t>80%（参考公立病理中心扣率）。</w:t>
            </w:r>
            <w:r>
              <w:rPr>
                <w:rFonts w:hint="eastAsia" w:asciiTheme="minorEastAsia" w:hAnsiTheme="minorEastAsia" w:eastAsiaTheme="minorEastAsia"/>
                <w:sz w:val="21"/>
                <w:szCs w:val="21"/>
                <w:lang w:eastAsia="zh-CN"/>
              </w:rPr>
              <w:t>折扣率为</w:t>
            </w:r>
            <w:r>
              <w:rPr>
                <w:rFonts w:hint="eastAsia" w:asciiTheme="minorEastAsia" w:hAnsiTheme="minorEastAsia" w:eastAsiaTheme="minorEastAsia"/>
                <w:sz w:val="21"/>
                <w:szCs w:val="21"/>
                <w:lang w:val="en-US" w:eastAsia="zh-CN"/>
              </w:rPr>
              <w:t>80%得15分；</w:t>
            </w:r>
            <w:r>
              <w:rPr>
                <w:rFonts w:hint="eastAsia" w:asciiTheme="minorEastAsia" w:hAnsiTheme="minorEastAsia" w:eastAsiaTheme="minorEastAsia"/>
                <w:sz w:val="21"/>
                <w:szCs w:val="21"/>
                <w:lang w:eastAsia="zh-CN"/>
              </w:rPr>
              <w:t>折扣率为</w:t>
            </w:r>
            <w:r>
              <w:rPr>
                <w:rFonts w:hint="eastAsia" w:asciiTheme="minorEastAsia" w:hAnsiTheme="minorEastAsia" w:eastAsiaTheme="minorEastAsia"/>
                <w:sz w:val="21"/>
                <w:szCs w:val="21"/>
                <w:lang w:val="en-US" w:eastAsia="zh-CN"/>
              </w:rPr>
              <w:t>90%得10分</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eastAsia="zh-CN"/>
              </w:rPr>
              <w:t>折扣率为</w:t>
            </w:r>
            <w:r>
              <w:rPr>
                <w:rFonts w:hint="eastAsia" w:asciiTheme="minorEastAsia" w:hAnsiTheme="minorEastAsia" w:eastAsiaTheme="minorEastAsia"/>
                <w:sz w:val="21"/>
                <w:szCs w:val="21"/>
                <w:lang w:val="en-US" w:eastAsia="zh-CN"/>
              </w:rPr>
              <w:t>100%得5分。</w:t>
            </w:r>
          </w:p>
        </w:tc>
      </w:tr>
    </w:tbl>
    <w:p>
      <w:pPr>
        <w:widowControl/>
        <w:shd w:val="clear" w:color="auto" w:fill="FFFFFF"/>
        <w:spacing w:line="360" w:lineRule="auto"/>
        <w:rPr>
          <w:rFonts w:ascii="宋体" w:hAnsi="宋体" w:cs="宋体"/>
          <w:kern w:val="0"/>
          <w:sz w:val="28"/>
          <w:szCs w:val="28"/>
          <w:shd w:val="clear" w:color="auto" w:fill="FFFFFF"/>
        </w:rPr>
      </w:pPr>
    </w:p>
    <w:p>
      <w:pPr>
        <w:widowControl/>
        <w:shd w:val="clear" w:color="auto" w:fill="FFFFFF"/>
        <w:spacing w:line="360" w:lineRule="auto"/>
        <w:rPr>
          <w:rFonts w:ascii="宋体" w:hAnsi="宋体" w:cs="宋体"/>
          <w:kern w:val="0"/>
          <w:sz w:val="28"/>
          <w:szCs w:val="28"/>
          <w:shd w:val="clear" w:color="auto" w:fill="FFFFFF"/>
        </w:rPr>
      </w:pPr>
    </w:p>
    <w:p>
      <w:pPr>
        <w:widowControl/>
        <w:shd w:val="clear" w:color="auto" w:fill="FFFFFF"/>
        <w:spacing w:line="360" w:lineRule="auto"/>
        <w:rPr>
          <w:rFonts w:ascii="宋体" w:hAnsi="宋体" w:cs="宋体"/>
          <w:kern w:val="0"/>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39"/>
    <w:rsid w:val="00003A23"/>
    <w:rsid w:val="00012DD5"/>
    <w:rsid w:val="0002246D"/>
    <w:rsid w:val="000356B2"/>
    <w:rsid w:val="00045C64"/>
    <w:rsid w:val="000617F9"/>
    <w:rsid w:val="000655A2"/>
    <w:rsid w:val="00076555"/>
    <w:rsid w:val="000813B3"/>
    <w:rsid w:val="000B7827"/>
    <w:rsid w:val="000F35F4"/>
    <w:rsid w:val="0010208E"/>
    <w:rsid w:val="00106F44"/>
    <w:rsid w:val="00124988"/>
    <w:rsid w:val="00127348"/>
    <w:rsid w:val="00131E2F"/>
    <w:rsid w:val="00133C61"/>
    <w:rsid w:val="00140BA7"/>
    <w:rsid w:val="00155DE5"/>
    <w:rsid w:val="001565E2"/>
    <w:rsid w:val="001A467B"/>
    <w:rsid w:val="001B7B17"/>
    <w:rsid w:val="001D17E4"/>
    <w:rsid w:val="001D482E"/>
    <w:rsid w:val="002052D9"/>
    <w:rsid w:val="00205456"/>
    <w:rsid w:val="00227E0B"/>
    <w:rsid w:val="002525D7"/>
    <w:rsid w:val="0027604D"/>
    <w:rsid w:val="00296191"/>
    <w:rsid w:val="002C2404"/>
    <w:rsid w:val="002E4CD3"/>
    <w:rsid w:val="003075A4"/>
    <w:rsid w:val="00337C50"/>
    <w:rsid w:val="00356069"/>
    <w:rsid w:val="00356932"/>
    <w:rsid w:val="00357426"/>
    <w:rsid w:val="0035787A"/>
    <w:rsid w:val="003B16C2"/>
    <w:rsid w:val="003B230D"/>
    <w:rsid w:val="003D5CF6"/>
    <w:rsid w:val="003E4625"/>
    <w:rsid w:val="003F2878"/>
    <w:rsid w:val="00445E0F"/>
    <w:rsid w:val="00450FA7"/>
    <w:rsid w:val="00451022"/>
    <w:rsid w:val="004644E0"/>
    <w:rsid w:val="00474DDF"/>
    <w:rsid w:val="00474E23"/>
    <w:rsid w:val="00493BC7"/>
    <w:rsid w:val="004B38E1"/>
    <w:rsid w:val="004B5C2F"/>
    <w:rsid w:val="004C3185"/>
    <w:rsid w:val="004D393D"/>
    <w:rsid w:val="004E5724"/>
    <w:rsid w:val="004E622E"/>
    <w:rsid w:val="004E71C4"/>
    <w:rsid w:val="004F346D"/>
    <w:rsid w:val="004F428F"/>
    <w:rsid w:val="0050501D"/>
    <w:rsid w:val="00507D04"/>
    <w:rsid w:val="00536473"/>
    <w:rsid w:val="005508F3"/>
    <w:rsid w:val="00570106"/>
    <w:rsid w:val="00575F76"/>
    <w:rsid w:val="005A23F6"/>
    <w:rsid w:val="005A6C99"/>
    <w:rsid w:val="006132C0"/>
    <w:rsid w:val="006146C2"/>
    <w:rsid w:val="006556F7"/>
    <w:rsid w:val="00655FD6"/>
    <w:rsid w:val="00656040"/>
    <w:rsid w:val="00670535"/>
    <w:rsid w:val="006C27C1"/>
    <w:rsid w:val="006C62F9"/>
    <w:rsid w:val="00704663"/>
    <w:rsid w:val="00706697"/>
    <w:rsid w:val="00715C1D"/>
    <w:rsid w:val="0071678E"/>
    <w:rsid w:val="0073081D"/>
    <w:rsid w:val="007331EB"/>
    <w:rsid w:val="00745B29"/>
    <w:rsid w:val="0075181B"/>
    <w:rsid w:val="00761439"/>
    <w:rsid w:val="007622E9"/>
    <w:rsid w:val="00780E7F"/>
    <w:rsid w:val="00792649"/>
    <w:rsid w:val="00794000"/>
    <w:rsid w:val="007B3115"/>
    <w:rsid w:val="007C0CE0"/>
    <w:rsid w:val="007C1634"/>
    <w:rsid w:val="007D39C7"/>
    <w:rsid w:val="007E4E3C"/>
    <w:rsid w:val="007F0C73"/>
    <w:rsid w:val="007F421E"/>
    <w:rsid w:val="0083384B"/>
    <w:rsid w:val="0083672A"/>
    <w:rsid w:val="008511E6"/>
    <w:rsid w:val="00856DBF"/>
    <w:rsid w:val="008A51A1"/>
    <w:rsid w:val="008A74B0"/>
    <w:rsid w:val="008D4635"/>
    <w:rsid w:val="008E0679"/>
    <w:rsid w:val="008E2C56"/>
    <w:rsid w:val="008F0A77"/>
    <w:rsid w:val="00921B94"/>
    <w:rsid w:val="00927F7E"/>
    <w:rsid w:val="009308CD"/>
    <w:rsid w:val="009375E9"/>
    <w:rsid w:val="00937E10"/>
    <w:rsid w:val="00941530"/>
    <w:rsid w:val="0095482D"/>
    <w:rsid w:val="00954855"/>
    <w:rsid w:val="00957E63"/>
    <w:rsid w:val="009716A9"/>
    <w:rsid w:val="00976FD7"/>
    <w:rsid w:val="00994FAF"/>
    <w:rsid w:val="009A4805"/>
    <w:rsid w:val="009B785C"/>
    <w:rsid w:val="009D36DD"/>
    <w:rsid w:val="009E11D9"/>
    <w:rsid w:val="009F0F21"/>
    <w:rsid w:val="009F304F"/>
    <w:rsid w:val="009F75C1"/>
    <w:rsid w:val="00A04A16"/>
    <w:rsid w:val="00A05061"/>
    <w:rsid w:val="00A2470B"/>
    <w:rsid w:val="00A24EB9"/>
    <w:rsid w:val="00A3079F"/>
    <w:rsid w:val="00A45318"/>
    <w:rsid w:val="00A97D91"/>
    <w:rsid w:val="00AB30D0"/>
    <w:rsid w:val="00AE3175"/>
    <w:rsid w:val="00AE482D"/>
    <w:rsid w:val="00AF07E8"/>
    <w:rsid w:val="00AF7E49"/>
    <w:rsid w:val="00B10D91"/>
    <w:rsid w:val="00B24460"/>
    <w:rsid w:val="00B34D1E"/>
    <w:rsid w:val="00B456E3"/>
    <w:rsid w:val="00B702E5"/>
    <w:rsid w:val="00B91BCF"/>
    <w:rsid w:val="00B92645"/>
    <w:rsid w:val="00BE4E5B"/>
    <w:rsid w:val="00BF43EC"/>
    <w:rsid w:val="00C06640"/>
    <w:rsid w:val="00C177B7"/>
    <w:rsid w:val="00C22E0E"/>
    <w:rsid w:val="00C27D12"/>
    <w:rsid w:val="00C347F1"/>
    <w:rsid w:val="00C36B20"/>
    <w:rsid w:val="00C731F6"/>
    <w:rsid w:val="00C7339E"/>
    <w:rsid w:val="00CA05A0"/>
    <w:rsid w:val="00CB75B5"/>
    <w:rsid w:val="00CE0FB2"/>
    <w:rsid w:val="00CF254A"/>
    <w:rsid w:val="00CF65D8"/>
    <w:rsid w:val="00D07202"/>
    <w:rsid w:val="00D12432"/>
    <w:rsid w:val="00D13256"/>
    <w:rsid w:val="00D20618"/>
    <w:rsid w:val="00D42A40"/>
    <w:rsid w:val="00D601F5"/>
    <w:rsid w:val="00D74E34"/>
    <w:rsid w:val="00D81361"/>
    <w:rsid w:val="00D81962"/>
    <w:rsid w:val="00DB3F0F"/>
    <w:rsid w:val="00DB6D40"/>
    <w:rsid w:val="00DD1B7A"/>
    <w:rsid w:val="00DD6875"/>
    <w:rsid w:val="00DD6C9F"/>
    <w:rsid w:val="00DE53B9"/>
    <w:rsid w:val="00DF3CB5"/>
    <w:rsid w:val="00DF623F"/>
    <w:rsid w:val="00E05306"/>
    <w:rsid w:val="00E62666"/>
    <w:rsid w:val="00E705A0"/>
    <w:rsid w:val="00EB404C"/>
    <w:rsid w:val="00EC2AE3"/>
    <w:rsid w:val="00ED3725"/>
    <w:rsid w:val="00ED79A3"/>
    <w:rsid w:val="00EF303F"/>
    <w:rsid w:val="00F10171"/>
    <w:rsid w:val="00F25A8E"/>
    <w:rsid w:val="00FA37E6"/>
    <w:rsid w:val="00FD1B83"/>
    <w:rsid w:val="00FF275A"/>
    <w:rsid w:val="00FF675C"/>
    <w:rsid w:val="00FF755C"/>
    <w:rsid w:val="0BDF392B"/>
    <w:rsid w:val="0CE45E0C"/>
    <w:rsid w:val="0D5C0588"/>
    <w:rsid w:val="0DBF18A5"/>
    <w:rsid w:val="18007F32"/>
    <w:rsid w:val="1AC969E3"/>
    <w:rsid w:val="2D2E32B0"/>
    <w:rsid w:val="308F6A85"/>
    <w:rsid w:val="3C0D6875"/>
    <w:rsid w:val="3D480FA5"/>
    <w:rsid w:val="3DEF7A35"/>
    <w:rsid w:val="3E923D19"/>
    <w:rsid w:val="43506042"/>
    <w:rsid w:val="4753325D"/>
    <w:rsid w:val="477F7453"/>
    <w:rsid w:val="49641733"/>
    <w:rsid w:val="4AD33436"/>
    <w:rsid w:val="5C1636EF"/>
    <w:rsid w:val="6C7823A3"/>
    <w:rsid w:val="723D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rFonts w:ascii="Calibri" w:hAnsi="Calibri"/>
      <w:kern w:val="0"/>
      <w:sz w:val="24"/>
    </w:rPr>
  </w:style>
  <w:style w:type="character" w:styleId="6">
    <w:name w:val="FollowedHyperlink"/>
    <w:basedOn w:val="5"/>
    <w:semiHidden/>
    <w:unhideWhenUsed/>
    <w:qFormat/>
    <w:uiPriority w:val="99"/>
    <w:rPr>
      <w:color w:val="800080" w:themeColor="followedHyperlink"/>
      <w:u w:val="single"/>
      <w14:textFill>
        <w14:solidFill>
          <w14:schemeClr w14:val="folHlink"/>
        </w14:solidFill>
      </w14:textFill>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页眉 字符"/>
    <w:basedOn w:val="5"/>
    <w:link w:val="3"/>
    <w:qFormat/>
    <w:uiPriority w:val="99"/>
    <w:rPr>
      <w:rFonts w:ascii="Times New Roman" w:hAnsi="Times New Roman" w:eastAsia="宋体" w:cs="Times New Roman"/>
      <w:sz w:val="18"/>
      <w:szCs w:val="18"/>
    </w:rPr>
  </w:style>
  <w:style w:type="character" w:customStyle="1" w:styleId="10">
    <w:name w:val="页脚 字符"/>
    <w:basedOn w:val="5"/>
    <w:link w:val="2"/>
    <w:qFormat/>
    <w:uiPriority w:val="99"/>
    <w:rPr>
      <w:rFonts w:ascii="Times New Roman" w:hAnsi="Times New Roman" w:eastAsia="宋体"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241</Words>
  <Characters>1377</Characters>
  <Lines>11</Lines>
  <Paragraphs>3</Paragraphs>
  <TotalTime>0</TotalTime>
  <ScaleCrop>false</ScaleCrop>
  <LinksUpToDate>false</LinksUpToDate>
  <CharactersWithSpaces>1615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2018-10-10T01:43:00Z</dcterms:created>
  <dc:creator>shiqianqian</dc:creator>
  <cp:lastModifiedBy>李朝</cp:lastModifiedBy>
  <dcterms:modified xsi:type="dcterms:W3CDTF">2018-10-19T08:33:45Z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