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BCF1A">
      <w:pPr>
        <w:keepNext/>
        <w:keepLines/>
        <w:spacing w:before="100" w:beforeAutospacing="1" w:after="100" w:afterAutospacing="1"/>
        <w:jc w:val="center"/>
        <w:outlineLvl w:val="0"/>
        <w:rPr>
          <w:rFonts w:hint="default" w:eastAsia="宋体"/>
          <w:lang w:val="en-US" w:eastAsia="zh-CN"/>
        </w:rPr>
      </w:pPr>
      <w:r>
        <w:rPr>
          <w:rFonts w:hint="eastAsia"/>
          <w:b/>
          <w:sz w:val="44"/>
        </w:rPr>
        <w:t>温州市中医院六虹桥院区ICU中央空调系统1号机组蒸发器故障更换</w:t>
      </w:r>
      <w:r>
        <w:rPr>
          <w:rFonts w:hint="eastAsia"/>
          <w:b/>
          <w:sz w:val="44"/>
          <w:lang w:val="en-US" w:eastAsia="zh-CN"/>
        </w:rPr>
        <w:t>的院内公开遴选文件</w:t>
      </w:r>
    </w:p>
    <w:p w14:paraId="21294D12">
      <w:pPr>
        <w:keepNext/>
        <w:keepLines/>
        <w:pageBreakBefore w:val="0"/>
        <w:widowControl/>
        <w:kinsoku/>
        <w:wordWrap/>
        <w:overflowPunct/>
        <w:topLinePunct w:val="0"/>
        <w:autoSpaceDE/>
        <w:autoSpaceDN/>
        <w:bidi w:val="0"/>
        <w:adjustRightInd/>
        <w:snapToGrid/>
        <w:spacing w:before="0" w:beforeAutospacing="0" w:after="0" w:afterAutospacing="0"/>
        <w:jc w:val="both"/>
        <w:textAlignment w:val="auto"/>
        <w:outlineLvl w:val="2"/>
        <w:rPr>
          <w:sz w:val="32"/>
          <w:szCs w:val="32"/>
        </w:rPr>
      </w:pPr>
      <w:r>
        <w:rPr>
          <w:rFonts w:hint="eastAsia"/>
          <w:b/>
          <w:sz w:val="32"/>
          <w:lang w:val="en-US" w:eastAsia="zh-CN"/>
        </w:rPr>
        <w:t>1</w:t>
      </w:r>
      <w:r>
        <w:rPr>
          <w:rFonts w:hint="eastAsia"/>
          <w:b/>
          <w:sz w:val="32"/>
        </w:rPr>
        <w:t>、项目概况</w:t>
      </w:r>
    </w:p>
    <w:p w14:paraId="04B1E873">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pPr>
      <w:r>
        <w:rPr>
          <w:rFonts w:hint="eastAsia"/>
        </w:rPr>
        <w:t>1.1 项目名称：温州市中医院六虹桥院区ICU中央空调系统1号机组蒸发器故障更换。</w:t>
      </w:r>
    </w:p>
    <w:p w14:paraId="7234B266">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pPr>
      <w:r>
        <w:rPr>
          <w:rFonts w:hint="eastAsia"/>
        </w:rPr>
        <w:t>1.2 项目概况：ICU中央空调系统1号机组蒸发器故障更换。</w:t>
      </w:r>
    </w:p>
    <w:p w14:paraId="55B0FDD5">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rPr>
          <w:rFonts w:hint="eastAsia"/>
        </w:rPr>
      </w:pPr>
      <w:r>
        <w:rPr>
          <w:rFonts w:hint="eastAsia"/>
        </w:rPr>
        <w:t>1.</w:t>
      </w:r>
      <w:r>
        <w:rPr>
          <w:rFonts w:hint="eastAsia"/>
          <w:lang w:val="en-US" w:eastAsia="zh-CN"/>
        </w:rPr>
        <w:t>3</w:t>
      </w:r>
      <w:r>
        <w:rPr>
          <w:rFonts w:hint="eastAsia"/>
        </w:rPr>
        <w:t xml:space="preserve"> 项目预算：</w:t>
      </w:r>
      <w:r>
        <w:rPr>
          <w:rFonts w:hint="eastAsia"/>
          <w:lang w:val="en-US" w:eastAsia="zh-CN"/>
        </w:rPr>
        <w:t>伍</w:t>
      </w:r>
      <w:r>
        <w:rPr>
          <w:rFonts w:hint="eastAsia"/>
        </w:rPr>
        <w:t>万捌仟元整（58000</w:t>
      </w:r>
      <w:r>
        <w:rPr>
          <w:rFonts w:hint="eastAsia"/>
          <w:lang w:val="en-US" w:eastAsia="zh-CN"/>
        </w:rPr>
        <w:t>元</w:t>
      </w:r>
      <w:r>
        <w:rPr>
          <w:rFonts w:hint="eastAsia"/>
        </w:rPr>
        <w:t>），超过预算为无效报价。</w:t>
      </w:r>
    </w:p>
    <w:p w14:paraId="7078E07C">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rPr>
          <w:rFonts w:hint="default" w:eastAsia="宋体"/>
          <w:lang w:val="en-US" w:eastAsia="zh-CN"/>
        </w:rPr>
      </w:pPr>
      <w:r>
        <w:rPr>
          <w:rFonts w:hint="eastAsia"/>
          <w:lang w:val="en-US" w:eastAsia="zh-CN"/>
        </w:rPr>
        <w:t>1.4 项目工期：35天。</w:t>
      </w:r>
    </w:p>
    <w:p w14:paraId="569D7290">
      <w:pPr>
        <w:keepNext/>
        <w:keepLines/>
        <w:pageBreakBefore w:val="0"/>
        <w:widowControl/>
        <w:kinsoku/>
        <w:wordWrap/>
        <w:overflowPunct/>
        <w:topLinePunct w:val="0"/>
        <w:autoSpaceDE/>
        <w:autoSpaceDN/>
        <w:bidi w:val="0"/>
        <w:adjustRightInd/>
        <w:snapToGrid/>
        <w:spacing w:before="0" w:beforeAutospacing="0" w:after="0" w:afterAutospacing="0"/>
        <w:jc w:val="both"/>
        <w:textAlignment w:val="auto"/>
        <w:outlineLvl w:val="2"/>
        <w:rPr>
          <w:sz w:val="32"/>
          <w:szCs w:val="32"/>
        </w:rPr>
      </w:pPr>
      <w:r>
        <w:rPr>
          <w:rFonts w:hint="eastAsia"/>
          <w:b/>
          <w:sz w:val="32"/>
          <w:lang w:val="en-US" w:eastAsia="zh-CN"/>
        </w:rPr>
        <w:t>2</w:t>
      </w:r>
      <w:r>
        <w:rPr>
          <w:rFonts w:hint="eastAsia"/>
          <w:b/>
          <w:sz w:val="32"/>
        </w:rPr>
        <w:t>、采购内容清单</w:t>
      </w:r>
    </w:p>
    <w:tbl>
      <w:tblPr>
        <w:tblStyle w:val="7"/>
        <w:tblW w:w="8900" w:type="dxa"/>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15" w:type="dxa"/>
          <w:left w:w="15" w:type="dxa"/>
          <w:bottom w:w="15" w:type="dxa"/>
          <w:right w:w="15" w:type="dxa"/>
        </w:tblCellMar>
      </w:tblPr>
      <w:tblGrid>
        <w:gridCol w:w="700"/>
        <w:gridCol w:w="1800"/>
        <w:gridCol w:w="900"/>
        <w:gridCol w:w="900"/>
        <w:gridCol w:w="4600"/>
      </w:tblGrid>
      <w:tr w14:paraId="03FA0CB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c>
          <w:tcPr>
            <w:tcW w:w="700" w:type="dxa"/>
            <w:tcBorders>
              <w:top w:val="single" w:color="auto" w:sz="4" w:space="0"/>
              <w:left w:val="single" w:color="auto" w:sz="4" w:space="0"/>
              <w:bottom w:val="single" w:color="auto" w:sz="4" w:space="0"/>
              <w:right w:val="single" w:color="auto" w:sz="4" w:space="0"/>
            </w:tcBorders>
            <w:vAlign w:val="center"/>
          </w:tcPr>
          <w:p w14:paraId="688BFC2D">
            <w:pPr>
              <w:spacing w:before="30" w:after="30" w:line="240" w:lineRule="auto"/>
              <w:jc w:val="both"/>
            </w:pPr>
            <w:r>
              <w:rPr>
                <w:rFonts w:hint="eastAsia"/>
                <w:b/>
              </w:rPr>
              <w:t>序号</w:t>
            </w:r>
          </w:p>
        </w:tc>
        <w:tc>
          <w:tcPr>
            <w:tcW w:w="1800" w:type="dxa"/>
            <w:tcBorders>
              <w:top w:val="single" w:color="auto" w:sz="4" w:space="0"/>
              <w:left w:val="single" w:color="auto" w:sz="4" w:space="0"/>
              <w:bottom w:val="single" w:color="auto" w:sz="4" w:space="0"/>
              <w:right w:val="single" w:color="auto" w:sz="4" w:space="0"/>
            </w:tcBorders>
            <w:vAlign w:val="center"/>
          </w:tcPr>
          <w:p w14:paraId="6EE4CF6A">
            <w:pPr>
              <w:spacing w:before="30" w:after="30" w:line="240" w:lineRule="auto"/>
              <w:jc w:val="both"/>
            </w:pPr>
            <w:r>
              <w:rPr>
                <w:rFonts w:hint="eastAsia"/>
                <w:b/>
              </w:rPr>
              <w:t>名称及型号</w:t>
            </w:r>
          </w:p>
        </w:tc>
        <w:tc>
          <w:tcPr>
            <w:tcW w:w="900" w:type="dxa"/>
            <w:tcBorders>
              <w:top w:val="single" w:color="auto" w:sz="4" w:space="0"/>
              <w:left w:val="single" w:color="auto" w:sz="4" w:space="0"/>
              <w:bottom w:val="single" w:color="auto" w:sz="4" w:space="0"/>
              <w:right w:val="single" w:color="auto" w:sz="4" w:space="0"/>
            </w:tcBorders>
            <w:vAlign w:val="center"/>
          </w:tcPr>
          <w:p w14:paraId="26818F62">
            <w:pPr>
              <w:spacing w:before="30" w:after="30" w:line="240" w:lineRule="auto"/>
              <w:jc w:val="both"/>
            </w:pPr>
            <w:r>
              <w:rPr>
                <w:rFonts w:hint="eastAsia"/>
                <w:b/>
              </w:rPr>
              <w:t>数量</w:t>
            </w:r>
          </w:p>
        </w:tc>
        <w:tc>
          <w:tcPr>
            <w:tcW w:w="900" w:type="dxa"/>
            <w:tcBorders>
              <w:top w:val="single" w:color="auto" w:sz="4" w:space="0"/>
              <w:left w:val="single" w:color="auto" w:sz="4" w:space="0"/>
              <w:bottom w:val="single" w:color="auto" w:sz="4" w:space="0"/>
              <w:right w:val="single" w:color="auto" w:sz="4" w:space="0"/>
            </w:tcBorders>
            <w:vAlign w:val="center"/>
          </w:tcPr>
          <w:p w14:paraId="0F079C92">
            <w:pPr>
              <w:spacing w:before="30" w:after="30" w:line="240" w:lineRule="auto"/>
              <w:jc w:val="both"/>
            </w:pPr>
            <w:r>
              <w:rPr>
                <w:rFonts w:hint="eastAsia"/>
                <w:b/>
              </w:rPr>
              <w:t>单位</w:t>
            </w:r>
          </w:p>
        </w:tc>
        <w:tc>
          <w:tcPr>
            <w:tcW w:w="4600" w:type="dxa"/>
            <w:tcBorders>
              <w:top w:val="single" w:color="auto" w:sz="4" w:space="0"/>
              <w:left w:val="single" w:color="auto" w:sz="4" w:space="0"/>
              <w:bottom w:val="single" w:color="auto" w:sz="4" w:space="0"/>
              <w:right w:val="single" w:color="auto" w:sz="4" w:space="0"/>
            </w:tcBorders>
            <w:vAlign w:val="center"/>
          </w:tcPr>
          <w:p w14:paraId="214DDFB3">
            <w:pPr>
              <w:spacing w:before="30" w:after="30" w:line="240" w:lineRule="auto"/>
              <w:jc w:val="both"/>
            </w:pPr>
            <w:r>
              <w:rPr>
                <w:rFonts w:hint="eastAsia"/>
                <w:b/>
              </w:rPr>
              <w:t>备注</w:t>
            </w:r>
          </w:p>
        </w:tc>
      </w:tr>
      <w:tr w14:paraId="146F854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c>
          <w:tcPr>
            <w:tcW w:w="700" w:type="dxa"/>
            <w:tcBorders>
              <w:top w:val="single" w:color="auto" w:sz="4" w:space="0"/>
              <w:left w:val="single" w:color="auto" w:sz="4" w:space="0"/>
              <w:bottom w:val="single" w:color="auto" w:sz="4" w:space="0"/>
              <w:right w:val="single" w:color="auto" w:sz="4" w:space="0"/>
            </w:tcBorders>
            <w:vAlign w:val="center"/>
          </w:tcPr>
          <w:p w14:paraId="6E844307">
            <w:pPr>
              <w:spacing w:before="30" w:after="30" w:line="240" w:lineRule="auto"/>
              <w:jc w:val="both"/>
            </w:pPr>
            <w:r>
              <w:t>1</w:t>
            </w:r>
          </w:p>
        </w:tc>
        <w:tc>
          <w:tcPr>
            <w:tcW w:w="1800" w:type="dxa"/>
            <w:tcBorders>
              <w:top w:val="single" w:color="auto" w:sz="4" w:space="0"/>
              <w:left w:val="single" w:color="auto" w:sz="4" w:space="0"/>
              <w:bottom w:val="single" w:color="auto" w:sz="4" w:space="0"/>
              <w:right w:val="single" w:color="auto" w:sz="4" w:space="0"/>
            </w:tcBorders>
            <w:vAlign w:val="center"/>
          </w:tcPr>
          <w:p w14:paraId="34EC73FD">
            <w:pPr>
              <w:spacing w:before="30" w:after="30" w:line="240" w:lineRule="auto"/>
              <w:jc w:val="both"/>
            </w:pPr>
            <w:r>
              <w:rPr>
                <w:rFonts w:hint="eastAsia"/>
              </w:rPr>
              <w:t>蒸发器</w:t>
            </w:r>
          </w:p>
        </w:tc>
        <w:tc>
          <w:tcPr>
            <w:tcW w:w="900" w:type="dxa"/>
            <w:tcBorders>
              <w:top w:val="single" w:color="auto" w:sz="4" w:space="0"/>
              <w:left w:val="single" w:color="auto" w:sz="4" w:space="0"/>
              <w:bottom w:val="single" w:color="auto" w:sz="4" w:space="0"/>
              <w:right w:val="single" w:color="auto" w:sz="4" w:space="0"/>
            </w:tcBorders>
            <w:vAlign w:val="center"/>
          </w:tcPr>
          <w:p w14:paraId="103CF87E">
            <w:pPr>
              <w:spacing w:before="30" w:after="30" w:line="240" w:lineRule="auto"/>
              <w:jc w:val="both"/>
            </w:pPr>
            <w:r>
              <w:t>1</w:t>
            </w:r>
          </w:p>
        </w:tc>
        <w:tc>
          <w:tcPr>
            <w:tcW w:w="900" w:type="dxa"/>
            <w:tcBorders>
              <w:top w:val="single" w:color="auto" w:sz="4" w:space="0"/>
              <w:left w:val="single" w:color="auto" w:sz="4" w:space="0"/>
              <w:bottom w:val="single" w:color="auto" w:sz="4" w:space="0"/>
              <w:right w:val="single" w:color="auto" w:sz="4" w:space="0"/>
            </w:tcBorders>
            <w:vAlign w:val="center"/>
          </w:tcPr>
          <w:p w14:paraId="11DACB4F">
            <w:pPr>
              <w:spacing w:before="30" w:after="30" w:line="240" w:lineRule="auto"/>
              <w:jc w:val="both"/>
            </w:pPr>
            <w:r>
              <w:rPr>
                <w:rFonts w:hint="eastAsia"/>
              </w:rPr>
              <w:t>台</w:t>
            </w:r>
          </w:p>
        </w:tc>
        <w:tc>
          <w:tcPr>
            <w:tcW w:w="4600" w:type="dxa"/>
            <w:tcBorders>
              <w:top w:val="single" w:color="auto" w:sz="4" w:space="0"/>
              <w:left w:val="single" w:color="auto" w:sz="4" w:space="0"/>
              <w:bottom w:val="single" w:color="auto" w:sz="4" w:space="0"/>
              <w:right w:val="single" w:color="auto" w:sz="4" w:space="0"/>
            </w:tcBorders>
            <w:vAlign w:val="center"/>
          </w:tcPr>
          <w:p w14:paraId="6BFB47F5">
            <w:pPr>
              <w:spacing w:before="30" w:after="30" w:line="240" w:lineRule="auto"/>
              <w:jc w:val="both"/>
            </w:pPr>
            <w:r>
              <w:rPr>
                <w:rFonts w:hint="eastAsia"/>
              </w:rPr>
              <w:t>原蒸发器由维修单位回收处置</w:t>
            </w:r>
          </w:p>
        </w:tc>
      </w:tr>
      <w:tr w14:paraId="1CBA5A9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c>
          <w:tcPr>
            <w:tcW w:w="700" w:type="dxa"/>
            <w:tcBorders>
              <w:top w:val="single" w:color="auto" w:sz="4" w:space="0"/>
              <w:left w:val="single" w:color="auto" w:sz="4" w:space="0"/>
              <w:bottom w:val="single" w:color="auto" w:sz="4" w:space="0"/>
              <w:right w:val="single" w:color="auto" w:sz="4" w:space="0"/>
            </w:tcBorders>
            <w:vAlign w:val="center"/>
          </w:tcPr>
          <w:p w14:paraId="211383A5">
            <w:pPr>
              <w:spacing w:before="30" w:after="30" w:line="240" w:lineRule="auto"/>
              <w:jc w:val="both"/>
            </w:pPr>
            <w:r>
              <w:t>2</w:t>
            </w:r>
          </w:p>
        </w:tc>
        <w:tc>
          <w:tcPr>
            <w:tcW w:w="1800" w:type="dxa"/>
            <w:tcBorders>
              <w:top w:val="single" w:color="auto" w:sz="4" w:space="0"/>
              <w:left w:val="single" w:color="auto" w:sz="4" w:space="0"/>
              <w:bottom w:val="single" w:color="auto" w:sz="4" w:space="0"/>
              <w:right w:val="single" w:color="auto" w:sz="4" w:space="0"/>
            </w:tcBorders>
            <w:vAlign w:val="center"/>
          </w:tcPr>
          <w:p w14:paraId="3CF397FA">
            <w:pPr>
              <w:spacing w:before="30" w:after="30" w:line="240" w:lineRule="auto"/>
              <w:jc w:val="both"/>
            </w:pPr>
            <w:r>
              <w:rPr>
                <w:rFonts w:hint="eastAsia"/>
              </w:rPr>
              <w:t>拆装费</w:t>
            </w:r>
          </w:p>
        </w:tc>
        <w:tc>
          <w:tcPr>
            <w:tcW w:w="900" w:type="dxa"/>
            <w:tcBorders>
              <w:top w:val="single" w:color="auto" w:sz="4" w:space="0"/>
              <w:left w:val="single" w:color="auto" w:sz="4" w:space="0"/>
              <w:bottom w:val="single" w:color="auto" w:sz="4" w:space="0"/>
              <w:right w:val="single" w:color="auto" w:sz="4" w:space="0"/>
            </w:tcBorders>
            <w:vAlign w:val="center"/>
          </w:tcPr>
          <w:p w14:paraId="047F57A1">
            <w:pPr>
              <w:spacing w:before="30" w:after="30" w:line="240" w:lineRule="auto"/>
              <w:jc w:val="both"/>
            </w:pPr>
            <w:r>
              <w:t>1</w:t>
            </w:r>
          </w:p>
        </w:tc>
        <w:tc>
          <w:tcPr>
            <w:tcW w:w="900" w:type="dxa"/>
            <w:tcBorders>
              <w:top w:val="single" w:color="auto" w:sz="4" w:space="0"/>
              <w:left w:val="single" w:color="auto" w:sz="4" w:space="0"/>
              <w:bottom w:val="single" w:color="auto" w:sz="4" w:space="0"/>
              <w:right w:val="single" w:color="auto" w:sz="4" w:space="0"/>
            </w:tcBorders>
            <w:vAlign w:val="center"/>
          </w:tcPr>
          <w:p w14:paraId="31D5B510">
            <w:pPr>
              <w:spacing w:before="30" w:after="30" w:line="240" w:lineRule="auto"/>
              <w:jc w:val="both"/>
            </w:pPr>
            <w:r>
              <w:rPr>
                <w:rFonts w:hint="eastAsia"/>
              </w:rPr>
              <w:t>台</w:t>
            </w:r>
          </w:p>
        </w:tc>
        <w:tc>
          <w:tcPr>
            <w:tcW w:w="4600" w:type="dxa"/>
            <w:tcBorders>
              <w:top w:val="single" w:color="auto" w:sz="4" w:space="0"/>
              <w:left w:val="single" w:color="auto" w:sz="4" w:space="0"/>
              <w:bottom w:val="single" w:color="auto" w:sz="4" w:space="0"/>
              <w:right w:val="single" w:color="auto" w:sz="4" w:space="0"/>
            </w:tcBorders>
            <w:vAlign w:val="center"/>
          </w:tcPr>
          <w:p w14:paraId="61FEAEE4">
            <w:pPr>
              <w:spacing w:before="30" w:after="30" w:line="240" w:lineRule="auto"/>
              <w:jc w:val="both"/>
            </w:pPr>
          </w:p>
        </w:tc>
      </w:tr>
      <w:tr w14:paraId="068195FC">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c>
          <w:tcPr>
            <w:tcW w:w="700" w:type="dxa"/>
            <w:tcBorders>
              <w:top w:val="single" w:color="auto" w:sz="4" w:space="0"/>
              <w:left w:val="single" w:color="auto" w:sz="4" w:space="0"/>
              <w:bottom w:val="single" w:color="auto" w:sz="4" w:space="0"/>
              <w:right w:val="single" w:color="auto" w:sz="4" w:space="0"/>
            </w:tcBorders>
            <w:vAlign w:val="center"/>
          </w:tcPr>
          <w:p w14:paraId="60D28436">
            <w:pPr>
              <w:spacing w:before="30" w:after="30" w:line="240" w:lineRule="auto"/>
              <w:jc w:val="both"/>
            </w:pPr>
            <w:r>
              <w:t>3</w:t>
            </w:r>
          </w:p>
        </w:tc>
        <w:tc>
          <w:tcPr>
            <w:tcW w:w="1800" w:type="dxa"/>
            <w:tcBorders>
              <w:top w:val="single" w:color="auto" w:sz="4" w:space="0"/>
              <w:left w:val="single" w:color="auto" w:sz="4" w:space="0"/>
              <w:bottom w:val="single" w:color="auto" w:sz="4" w:space="0"/>
              <w:right w:val="single" w:color="auto" w:sz="4" w:space="0"/>
            </w:tcBorders>
            <w:vAlign w:val="center"/>
          </w:tcPr>
          <w:p w14:paraId="48EA7176">
            <w:pPr>
              <w:spacing w:before="30" w:after="30" w:line="240" w:lineRule="auto"/>
              <w:jc w:val="both"/>
            </w:pPr>
            <w:r>
              <w:rPr>
                <w:rFonts w:hint="eastAsia"/>
              </w:rPr>
              <w:t>吊装费</w:t>
            </w:r>
          </w:p>
        </w:tc>
        <w:tc>
          <w:tcPr>
            <w:tcW w:w="900" w:type="dxa"/>
            <w:tcBorders>
              <w:top w:val="single" w:color="auto" w:sz="4" w:space="0"/>
              <w:left w:val="single" w:color="auto" w:sz="4" w:space="0"/>
              <w:bottom w:val="single" w:color="auto" w:sz="4" w:space="0"/>
              <w:right w:val="single" w:color="auto" w:sz="4" w:space="0"/>
            </w:tcBorders>
            <w:vAlign w:val="center"/>
          </w:tcPr>
          <w:p w14:paraId="50909027">
            <w:pPr>
              <w:spacing w:before="30" w:after="30" w:line="240" w:lineRule="auto"/>
              <w:jc w:val="both"/>
            </w:pPr>
            <w:r>
              <w:t>1</w:t>
            </w:r>
          </w:p>
        </w:tc>
        <w:tc>
          <w:tcPr>
            <w:tcW w:w="900" w:type="dxa"/>
            <w:tcBorders>
              <w:top w:val="single" w:color="auto" w:sz="4" w:space="0"/>
              <w:left w:val="single" w:color="auto" w:sz="4" w:space="0"/>
              <w:bottom w:val="single" w:color="auto" w:sz="4" w:space="0"/>
              <w:right w:val="single" w:color="auto" w:sz="4" w:space="0"/>
            </w:tcBorders>
            <w:vAlign w:val="center"/>
          </w:tcPr>
          <w:p w14:paraId="68E360E6">
            <w:pPr>
              <w:spacing w:before="30" w:after="30" w:line="240" w:lineRule="auto"/>
              <w:jc w:val="both"/>
            </w:pPr>
            <w:r>
              <w:rPr>
                <w:rFonts w:hint="eastAsia"/>
              </w:rPr>
              <w:t>台</w:t>
            </w:r>
          </w:p>
        </w:tc>
        <w:tc>
          <w:tcPr>
            <w:tcW w:w="4600" w:type="dxa"/>
            <w:tcBorders>
              <w:top w:val="single" w:color="auto" w:sz="4" w:space="0"/>
              <w:left w:val="single" w:color="auto" w:sz="4" w:space="0"/>
              <w:bottom w:val="single" w:color="auto" w:sz="4" w:space="0"/>
              <w:right w:val="single" w:color="auto" w:sz="4" w:space="0"/>
            </w:tcBorders>
            <w:vAlign w:val="center"/>
          </w:tcPr>
          <w:p w14:paraId="56B06AB4">
            <w:pPr>
              <w:spacing w:before="30" w:after="30" w:line="240" w:lineRule="auto"/>
              <w:jc w:val="both"/>
            </w:pPr>
          </w:p>
        </w:tc>
      </w:tr>
      <w:tr w14:paraId="76E5349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c>
          <w:tcPr>
            <w:tcW w:w="700" w:type="dxa"/>
            <w:tcBorders>
              <w:top w:val="single" w:color="auto" w:sz="4" w:space="0"/>
              <w:left w:val="single" w:color="auto" w:sz="4" w:space="0"/>
              <w:bottom w:val="single" w:color="auto" w:sz="4" w:space="0"/>
              <w:right w:val="single" w:color="auto" w:sz="4" w:space="0"/>
            </w:tcBorders>
            <w:vAlign w:val="center"/>
          </w:tcPr>
          <w:p w14:paraId="02189AC0">
            <w:pPr>
              <w:spacing w:before="30" w:after="30" w:line="240" w:lineRule="auto"/>
              <w:jc w:val="both"/>
            </w:pPr>
            <w:r>
              <w:t>4</w:t>
            </w:r>
          </w:p>
        </w:tc>
        <w:tc>
          <w:tcPr>
            <w:tcW w:w="1800" w:type="dxa"/>
            <w:tcBorders>
              <w:top w:val="single" w:color="auto" w:sz="4" w:space="0"/>
              <w:left w:val="single" w:color="auto" w:sz="4" w:space="0"/>
              <w:bottom w:val="single" w:color="auto" w:sz="4" w:space="0"/>
              <w:right w:val="single" w:color="auto" w:sz="4" w:space="0"/>
            </w:tcBorders>
            <w:vAlign w:val="center"/>
          </w:tcPr>
          <w:p w14:paraId="2965F0F1">
            <w:pPr>
              <w:spacing w:before="30" w:after="30" w:line="240" w:lineRule="auto"/>
              <w:jc w:val="both"/>
            </w:pPr>
            <w:r>
              <w:rPr>
                <w:rFonts w:hint="eastAsia"/>
              </w:rPr>
              <w:t>运输费</w:t>
            </w:r>
          </w:p>
        </w:tc>
        <w:tc>
          <w:tcPr>
            <w:tcW w:w="900" w:type="dxa"/>
            <w:tcBorders>
              <w:top w:val="single" w:color="auto" w:sz="4" w:space="0"/>
              <w:left w:val="single" w:color="auto" w:sz="4" w:space="0"/>
              <w:bottom w:val="single" w:color="auto" w:sz="4" w:space="0"/>
              <w:right w:val="single" w:color="auto" w:sz="4" w:space="0"/>
            </w:tcBorders>
            <w:vAlign w:val="center"/>
          </w:tcPr>
          <w:p w14:paraId="21824A6A">
            <w:pPr>
              <w:spacing w:before="30" w:after="30" w:line="240" w:lineRule="auto"/>
              <w:jc w:val="both"/>
            </w:pPr>
            <w:r>
              <w:t>1</w:t>
            </w:r>
          </w:p>
        </w:tc>
        <w:tc>
          <w:tcPr>
            <w:tcW w:w="900" w:type="dxa"/>
            <w:tcBorders>
              <w:top w:val="single" w:color="auto" w:sz="4" w:space="0"/>
              <w:left w:val="single" w:color="auto" w:sz="4" w:space="0"/>
              <w:bottom w:val="single" w:color="auto" w:sz="4" w:space="0"/>
              <w:right w:val="single" w:color="auto" w:sz="4" w:space="0"/>
            </w:tcBorders>
            <w:vAlign w:val="center"/>
          </w:tcPr>
          <w:p w14:paraId="0D3A07D6">
            <w:pPr>
              <w:spacing w:before="30" w:after="30" w:line="240" w:lineRule="auto"/>
              <w:jc w:val="both"/>
            </w:pPr>
            <w:r>
              <w:rPr>
                <w:rFonts w:hint="eastAsia"/>
              </w:rPr>
              <w:t>项</w:t>
            </w:r>
          </w:p>
        </w:tc>
        <w:tc>
          <w:tcPr>
            <w:tcW w:w="4600" w:type="dxa"/>
            <w:tcBorders>
              <w:top w:val="single" w:color="auto" w:sz="4" w:space="0"/>
              <w:left w:val="single" w:color="auto" w:sz="4" w:space="0"/>
              <w:bottom w:val="single" w:color="auto" w:sz="4" w:space="0"/>
              <w:right w:val="single" w:color="auto" w:sz="4" w:space="0"/>
            </w:tcBorders>
            <w:vAlign w:val="center"/>
          </w:tcPr>
          <w:p w14:paraId="323B3DE9">
            <w:pPr>
              <w:spacing w:before="30" w:after="30" w:line="240" w:lineRule="auto"/>
              <w:jc w:val="both"/>
            </w:pPr>
          </w:p>
        </w:tc>
      </w:tr>
      <w:tr w14:paraId="51BE1D6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c>
          <w:tcPr>
            <w:tcW w:w="700" w:type="dxa"/>
            <w:tcBorders>
              <w:top w:val="single" w:color="auto" w:sz="4" w:space="0"/>
              <w:left w:val="single" w:color="auto" w:sz="4" w:space="0"/>
              <w:bottom w:val="single" w:color="auto" w:sz="4" w:space="0"/>
              <w:right w:val="single" w:color="auto" w:sz="4" w:space="0"/>
            </w:tcBorders>
            <w:vAlign w:val="center"/>
          </w:tcPr>
          <w:p w14:paraId="5656C7BC">
            <w:pPr>
              <w:spacing w:before="30" w:after="30" w:line="240" w:lineRule="auto"/>
              <w:jc w:val="both"/>
            </w:pPr>
            <w:r>
              <w:t>5</w:t>
            </w:r>
          </w:p>
        </w:tc>
        <w:tc>
          <w:tcPr>
            <w:tcW w:w="1800" w:type="dxa"/>
            <w:tcBorders>
              <w:top w:val="single" w:color="auto" w:sz="4" w:space="0"/>
              <w:left w:val="single" w:color="auto" w:sz="4" w:space="0"/>
              <w:bottom w:val="single" w:color="auto" w:sz="4" w:space="0"/>
              <w:right w:val="single" w:color="auto" w:sz="4" w:space="0"/>
            </w:tcBorders>
            <w:vAlign w:val="center"/>
          </w:tcPr>
          <w:p w14:paraId="43D2D5FF">
            <w:pPr>
              <w:spacing w:before="30" w:after="30" w:line="240" w:lineRule="auto"/>
              <w:jc w:val="both"/>
            </w:pPr>
            <w:r>
              <w:rPr>
                <w:rFonts w:hint="eastAsia"/>
              </w:rPr>
              <w:t>辅材</w:t>
            </w:r>
          </w:p>
        </w:tc>
        <w:tc>
          <w:tcPr>
            <w:tcW w:w="900" w:type="dxa"/>
            <w:tcBorders>
              <w:top w:val="single" w:color="auto" w:sz="4" w:space="0"/>
              <w:left w:val="single" w:color="auto" w:sz="4" w:space="0"/>
              <w:bottom w:val="single" w:color="auto" w:sz="4" w:space="0"/>
              <w:right w:val="single" w:color="auto" w:sz="4" w:space="0"/>
            </w:tcBorders>
            <w:vAlign w:val="center"/>
          </w:tcPr>
          <w:p w14:paraId="7BE67632">
            <w:pPr>
              <w:spacing w:before="30" w:after="30" w:line="240" w:lineRule="auto"/>
              <w:jc w:val="both"/>
            </w:pPr>
            <w:r>
              <w:t>1</w:t>
            </w:r>
          </w:p>
        </w:tc>
        <w:tc>
          <w:tcPr>
            <w:tcW w:w="900" w:type="dxa"/>
            <w:tcBorders>
              <w:top w:val="single" w:color="auto" w:sz="4" w:space="0"/>
              <w:left w:val="single" w:color="auto" w:sz="4" w:space="0"/>
              <w:bottom w:val="single" w:color="auto" w:sz="4" w:space="0"/>
              <w:right w:val="single" w:color="auto" w:sz="4" w:space="0"/>
            </w:tcBorders>
            <w:vAlign w:val="center"/>
          </w:tcPr>
          <w:p w14:paraId="5D021069">
            <w:pPr>
              <w:spacing w:before="30" w:after="30" w:line="240" w:lineRule="auto"/>
              <w:jc w:val="both"/>
            </w:pPr>
            <w:r>
              <w:rPr>
                <w:rFonts w:hint="eastAsia"/>
              </w:rPr>
              <w:t>项</w:t>
            </w:r>
          </w:p>
        </w:tc>
        <w:tc>
          <w:tcPr>
            <w:tcW w:w="4600" w:type="dxa"/>
            <w:tcBorders>
              <w:top w:val="single" w:color="auto" w:sz="4" w:space="0"/>
              <w:left w:val="single" w:color="auto" w:sz="4" w:space="0"/>
              <w:bottom w:val="single" w:color="auto" w:sz="4" w:space="0"/>
              <w:right w:val="single" w:color="auto" w:sz="4" w:space="0"/>
            </w:tcBorders>
            <w:vAlign w:val="center"/>
          </w:tcPr>
          <w:p w14:paraId="457EC745">
            <w:pPr>
              <w:spacing w:before="30" w:after="30" w:line="240" w:lineRule="auto"/>
              <w:jc w:val="both"/>
            </w:pPr>
            <w:r>
              <w:rPr>
                <w:rFonts w:hint="eastAsia"/>
              </w:rPr>
              <w:t>包含冷冻油、干燥过滤器、油过滤器</w:t>
            </w:r>
          </w:p>
        </w:tc>
      </w:tr>
    </w:tbl>
    <w:p w14:paraId="5F937642">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pPr>
      <w:r>
        <w:rPr>
          <w:rFonts w:hint="eastAsia"/>
        </w:rPr>
        <w:t>2.1 报价要求：</w:t>
      </w:r>
      <w:r>
        <w:rPr>
          <w:rFonts w:hint="eastAsia"/>
          <w:lang w:eastAsia="zh-CN"/>
        </w:rPr>
        <w:t>响应</w:t>
      </w:r>
      <w:r>
        <w:rPr>
          <w:rFonts w:hint="eastAsia"/>
        </w:rPr>
        <w:t>报价应包含完成本项目全部工作内容所需的人工、材料、机械、运输、吊装、拆装、调试、检测、税费、安全文明施工等一切费用，采购人不再另行支付。</w:t>
      </w:r>
    </w:p>
    <w:p w14:paraId="6BAF2652">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pPr>
      <w:r>
        <w:rPr>
          <w:rFonts w:hint="eastAsia"/>
        </w:rPr>
        <w:t>2.2 技术要求：蒸发器须为原厂或与原机组完全适配的产品，规格、接口、换热面积、制冷量等参数须满足富田FTA-US-100W-1HB风冷螺杆机组（制冷量345KW）的运行要求；更换后须完成抽真空、保压检漏、加注冷冻油及制冷剂、系统调试等工序。</w:t>
      </w:r>
    </w:p>
    <w:p w14:paraId="64A54E56">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rPr>
          <w:rFonts w:hint="default"/>
          <w:woUserID w:val="1"/>
        </w:rPr>
      </w:pPr>
      <w:r>
        <w:rPr>
          <w:rFonts w:hint="eastAsia"/>
        </w:rPr>
        <w:t xml:space="preserve">2.3 </w:t>
      </w:r>
      <w:r>
        <w:rPr>
          <w:rFonts w:hint="default"/>
          <w:woUserID w:val="1"/>
        </w:rPr>
        <w:t>验收标准：更换完成后试运行15日，无故障，视为验收合格。</w:t>
      </w:r>
    </w:p>
    <w:p w14:paraId="5D82C233">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pPr>
      <w:r>
        <w:rPr>
          <w:rFonts w:hint="default"/>
          <w:woUserID w:val="1"/>
        </w:rPr>
        <w:t>2.4</w:t>
      </w:r>
      <w:r>
        <w:rPr>
          <w:rFonts w:hint="eastAsia"/>
        </w:rPr>
        <w:t>质保期：蒸发器质保一年，自验收合格之日起计算。质保期内因产品质量或施工质量导致的故障，由</w:t>
      </w:r>
      <w:r>
        <w:rPr>
          <w:rFonts w:hint="eastAsia"/>
          <w:lang w:eastAsia="zh-CN"/>
        </w:rPr>
        <w:t>中选</w:t>
      </w:r>
      <w:r>
        <w:rPr>
          <w:rFonts w:hint="eastAsia"/>
        </w:rPr>
        <w:t>人免费维修或更换。</w:t>
      </w:r>
    </w:p>
    <w:p w14:paraId="426C5628">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pPr>
      <w:r>
        <w:rPr>
          <w:rFonts w:hint="eastAsia"/>
        </w:rPr>
        <w:t>2.</w:t>
      </w:r>
      <w:r>
        <w:rPr>
          <w:rFonts w:hint="default"/>
          <w:woUserID w:val="1"/>
        </w:rPr>
        <w:t>5</w:t>
      </w:r>
      <w:r>
        <w:rPr>
          <w:rFonts w:hint="eastAsia"/>
        </w:rPr>
        <w:t xml:space="preserve"> 结算方式：验收合格</w:t>
      </w:r>
      <w:r>
        <w:rPr>
          <w:rFonts w:hint="eastAsia"/>
          <w:lang w:val="en-US" w:eastAsia="zh-CN"/>
        </w:rPr>
        <w:t>且参选人</w:t>
      </w:r>
      <w:r>
        <w:rPr>
          <w:rFonts w:hint="eastAsia"/>
        </w:rPr>
        <w:t>出具有效发票15个工作日内</w:t>
      </w:r>
      <w:r>
        <w:rPr>
          <w:rFonts w:hint="eastAsia"/>
          <w:lang w:eastAsia="zh-CN"/>
        </w:rPr>
        <w:t>，</w:t>
      </w:r>
      <w:r>
        <w:rPr>
          <w:rFonts w:hint="eastAsia"/>
          <w:lang w:val="en-US" w:eastAsia="zh-CN"/>
        </w:rPr>
        <w:t>采购人</w:t>
      </w:r>
      <w:r>
        <w:rPr>
          <w:rFonts w:hint="eastAsia"/>
        </w:rPr>
        <w:t>支付</w:t>
      </w:r>
      <w:r>
        <w:rPr>
          <w:rFonts w:hint="eastAsia"/>
          <w:lang w:val="en-US" w:eastAsia="zh-CN"/>
        </w:rPr>
        <w:t>合同价款100%</w:t>
      </w:r>
      <w:r>
        <w:rPr>
          <w:rFonts w:hint="eastAsia"/>
        </w:rPr>
        <w:t>。</w:t>
      </w:r>
    </w:p>
    <w:p w14:paraId="42D829E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楷体_GB2312"/>
          <w:color w:val="auto"/>
          <w:sz w:val="24"/>
          <w:szCs w:val="24"/>
          <w:lang w:val="en-US" w:eastAsia="zh-CN"/>
        </w:rPr>
      </w:pPr>
      <w:r>
        <w:rPr>
          <w:rFonts w:hint="eastAsia"/>
        </w:rPr>
        <w:t>2.</w:t>
      </w:r>
      <w:r>
        <w:rPr>
          <w:rFonts w:hint="eastAsia"/>
          <w:lang w:val="en-US" w:eastAsia="zh-CN"/>
        </w:rPr>
        <w:t>6</w:t>
      </w:r>
      <w:r>
        <w:rPr>
          <w:rFonts w:hint="eastAsia"/>
        </w:rPr>
        <w:t xml:space="preserve"> 施工要求：施工须服从医院统一管理，在采购人指定的时间与区域作业；涉及动火、高空及吊装作业的，须办理相应审批手续并落实安全防护措施，产生的废弃物由</w:t>
      </w:r>
      <w:r>
        <w:rPr>
          <w:rFonts w:hint="eastAsia"/>
          <w:lang w:eastAsia="zh-CN"/>
        </w:rPr>
        <w:t>中选</w:t>
      </w:r>
      <w:r>
        <w:rPr>
          <w:rFonts w:hint="eastAsia"/>
        </w:rPr>
        <w:t>人负责清运处置。</w:t>
      </w:r>
      <w:r>
        <w:rPr>
          <w:rFonts w:hint="eastAsia"/>
          <w:lang w:val="en-US" w:eastAsia="zh-CN"/>
        </w:rPr>
        <w:t>参选人</w:t>
      </w:r>
      <w:r>
        <w:rPr>
          <w:rFonts w:hint="eastAsia" w:ascii="宋体" w:hAnsi="宋体" w:eastAsia="宋体" w:cs="楷体_GB2312"/>
          <w:color w:val="auto"/>
          <w:sz w:val="24"/>
          <w:szCs w:val="24"/>
        </w:rPr>
        <w:t>应加强作业安全管理，</w:t>
      </w:r>
      <w:r>
        <w:rPr>
          <w:rFonts w:hint="eastAsia" w:ascii="宋体" w:hAnsi="宋体" w:eastAsia="宋体" w:cs="楷体_GB2312"/>
          <w:color w:val="auto"/>
          <w:sz w:val="24"/>
          <w:szCs w:val="24"/>
          <w:lang w:val="en-US" w:eastAsia="zh-CN"/>
        </w:rPr>
        <w:t>严格按照安全操作规程进行维修，配备必要的安全生产和劳动保护设施，加强对其履行合同所雇佣人员的安全教育和管理。并对其履行合同所雇佣的全部人员的工伤事故承担责任。</w:t>
      </w:r>
    </w:p>
    <w:p w14:paraId="5DB68400">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pPr>
    </w:p>
    <w:p w14:paraId="6E5B4D5E">
      <w:pPr>
        <w:keepNext/>
        <w:keepLines/>
        <w:pageBreakBefore w:val="0"/>
        <w:widowControl/>
        <w:kinsoku/>
        <w:wordWrap/>
        <w:overflowPunct/>
        <w:topLinePunct w:val="0"/>
        <w:autoSpaceDE/>
        <w:autoSpaceDN/>
        <w:bidi w:val="0"/>
        <w:adjustRightInd/>
        <w:snapToGrid/>
        <w:spacing w:before="0" w:beforeAutospacing="0" w:after="0" w:afterAutospacing="0"/>
        <w:jc w:val="both"/>
        <w:textAlignment w:val="auto"/>
        <w:outlineLvl w:val="2"/>
        <w:rPr>
          <w:sz w:val="32"/>
          <w:szCs w:val="32"/>
        </w:rPr>
      </w:pPr>
      <w:r>
        <w:rPr>
          <w:rFonts w:hint="eastAsia"/>
          <w:b/>
          <w:sz w:val="32"/>
          <w:lang w:val="en-US" w:eastAsia="zh-CN"/>
        </w:rPr>
        <w:t>3</w:t>
      </w:r>
      <w:r>
        <w:rPr>
          <w:rFonts w:hint="eastAsia"/>
          <w:b/>
          <w:sz w:val="32"/>
        </w:rPr>
        <w:t>、评审办法</w:t>
      </w:r>
    </w:p>
    <w:p w14:paraId="0137CD6F">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eastAsia="宋体" w:cs="Times New Roman"/>
        </w:rPr>
      </w:pPr>
      <w:r>
        <w:rPr>
          <w:rFonts w:hint="eastAsia" w:ascii="Times New Roman" w:hAnsi="Times New Roman" w:eastAsia="宋体" w:cs="Times New Roman"/>
          <w:lang w:val="en-US" w:eastAsia="zh-CN"/>
        </w:rPr>
        <w:t>3.1</w:t>
      </w:r>
      <w:r>
        <w:rPr>
          <w:rFonts w:hint="eastAsia" w:ascii="Times New Roman" w:hAnsi="Times New Roman" w:eastAsia="宋体" w:cs="Times New Roman"/>
        </w:rPr>
        <w:t>、确定中标候选人</w:t>
      </w:r>
    </w:p>
    <w:p w14:paraId="063E295A">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rPr>
          <w:rFonts w:hint="eastAsia" w:ascii="Times New Roman" w:hAnsi="Times New Roman" w:eastAsia="宋体" w:cs="Times New Roman"/>
        </w:rPr>
      </w:pPr>
      <w:r>
        <w:rPr>
          <w:rFonts w:hint="eastAsia" w:ascii="Times New Roman" w:hAnsi="Times New Roman" w:eastAsia="宋体" w:cs="Times New Roman"/>
          <w:lang w:val="en-US" w:eastAsia="zh-CN"/>
        </w:rPr>
        <w:t>3</w:t>
      </w:r>
      <w:r>
        <w:rPr>
          <w:rFonts w:hint="eastAsia" w:ascii="Times New Roman" w:hAnsi="Times New Roman" w:eastAsia="宋体" w:cs="Times New Roman"/>
        </w:rPr>
        <w:t>.1</w:t>
      </w:r>
      <w:r>
        <w:rPr>
          <w:rFonts w:hint="eastAsia" w:ascii="Times New Roman" w:hAnsi="Times New Roman" w:eastAsia="宋体" w:cs="Times New Roman"/>
          <w:lang w:val="en-US" w:eastAsia="zh-CN"/>
        </w:rPr>
        <w:t>.1</w:t>
      </w:r>
      <w:r>
        <w:rPr>
          <w:rFonts w:hint="eastAsia" w:ascii="Times New Roman" w:hAnsi="Times New Roman" w:eastAsia="宋体" w:cs="Times New Roman"/>
        </w:rPr>
        <w:t>由评标委员会确定中标候选人。</w:t>
      </w:r>
    </w:p>
    <w:p w14:paraId="4889E7D3">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rPr>
          <w:rFonts w:hint="eastAsia" w:ascii="Times New Roman" w:hAnsi="Times New Roman" w:eastAsia="宋体" w:cs="Times New Roman"/>
        </w:rPr>
      </w:pPr>
      <w:r>
        <w:rPr>
          <w:rFonts w:hint="eastAsia" w:ascii="Times New Roman" w:hAnsi="Times New Roman" w:eastAsia="宋体" w:cs="Times New Roman"/>
          <w:lang w:val="en-US" w:eastAsia="zh-CN"/>
        </w:rPr>
        <w:t>3</w:t>
      </w:r>
      <w:r>
        <w:rPr>
          <w:rFonts w:hint="eastAsia" w:ascii="Times New Roman" w:hAnsi="Times New Roman" w:eastAsia="宋体" w:cs="Times New Roman"/>
        </w:rPr>
        <w:t>.</w:t>
      </w:r>
      <w:r>
        <w:rPr>
          <w:rFonts w:hint="eastAsia" w:ascii="Times New Roman" w:hAnsi="Times New Roman" w:eastAsia="宋体" w:cs="Times New Roman"/>
          <w:lang w:val="en-US" w:eastAsia="zh-CN"/>
        </w:rPr>
        <w:t>1.2</w:t>
      </w:r>
      <w:r>
        <w:rPr>
          <w:rFonts w:hint="eastAsia" w:ascii="Times New Roman" w:hAnsi="Times New Roman" w:eastAsia="宋体" w:cs="Times New Roman"/>
        </w:rPr>
        <w:t>评标委员会依据法律、法规及招标文件有关规定按评审后得分（即技术分与商务分之和）由高到低顺序排序，得分前</w:t>
      </w:r>
      <w:r>
        <w:rPr>
          <w:rFonts w:hint="eastAsia" w:cs="Times New Roman"/>
          <w:lang w:val="en-US" w:eastAsia="zh-CN"/>
        </w:rPr>
        <w:t>两</w:t>
      </w:r>
      <w:r>
        <w:rPr>
          <w:rFonts w:hint="eastAsia" w:ascii="Times New Roman" w:hAnsi="Times New Roman" w:eastAsia="宋体" w:cs="Times New Roman"/>
        </w:rPr>
        <w:t>名的投标人确定为该项目的第一和第二中标候选人（得分相同报价低的排序第一；得分且报价相同的，技术指标优的排序第一）向采购人推荐。</w:t>
      </w:r>
    </w:p>
    <w:p w14:paraId="455E7A40">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rPr>
          <w:rFonts w:hint="eastAsia" w:ascii="Times New Roman" w:hAnsi="Times New Roman" w:eastAsia="宋体" w:cs="Times New Roman"/>
        </w:rPr>
      </w:pPr>
      <w:r>
        <w:rPr>
          <w:rFonts w:hint="eastAsia" w:ascii="Times New Roman" w:hAnsi="Times New Roman" w:eastAsia="宋体" w:cs="Times New Roman"/>
          <w:lang w:val="en-US" w:eastAsia="zh-CN"/>
        </w:rPr>
        <w:t>3.</w:t>
      </w:r>
      <w:r>
        <w:rPr>
          <w:rFonts w:hint="eastAsia" w:ascii="Times New Roman" w:hAnsi="Times New Roman" w:eastAsia="宋体" w:cs="Times New Roman"/>
        </w:rPr>
        <w:t>2、确定中标人</w:t>
      </w:r>
    </w:p>
    <w:p w14:paraId="1710468C">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rPr>
          <w:rFonts w:hint="eastAsia" w:ascii="Times New Roman" w:hAnsi="Times New Roman" w:eastAsia="宋体" w:cs="Times New Roman"/>
        </w:rPr>
      </w:pPr>
      <w:r>
        <w:rPr>
          <w:rFonts w:hint="eastAsia" w:ascii="Times New Roman" w:hAnsi="Times New Roman" w:eastAsia="宋体" w:cs="Times New Roman"/>
          <w:lang w:val="en-US" w:eastAsia="zh-CN"/>
        </w:rPr>
        <w:t>3.</w:t>
      </w:r>
      <w:r>
        <w:rPr>
          <w:rFonts w:hint="eastAsia" w:ascii="Times New Roman" w:hAnsi="Times New Roman" w:eastAsia="宋体" w:cs="Times New Roman"/>
        </w:rPr>
        <w:t>2.1采购人按照评标报告中推荐的中标候选供应商顺序确定中标人；也可以事先授权评标委员会按照推荐的中标候选供应商顺序直接确定中标人。中标候选人并列的，采取随机抽取的方式确定。</w:t>
      </w:r>
    </w:p>
    <w:p w14:paraId="09556B10">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rPr>
          <w:rFonts w:hint="eastAsia" w:ascii="Times New Roman" w:hAnsi="Times New Roman" w:eastAsia="宋体" w:cs="Times New Roman"/>
        </w:rPr>
      </w:pPr>
      <w:r>
        <w:rPr>
          <w:rFonts w:hint="eastAsia" w:ascii="Times New Roman" w:hAnsi="Times New Roman" w:eastAsia="宋体" w:cs="Times New Roman"/>
          <w:lang w:val="en-US" w:eastAsia="zh-CN"/>
        </w:rPr>
        <w:t>3.</w:t>
      </w:r>
      <w:r>
        <w:rPr>
          <w:rFonts w:hint="eastAsia" w:ascii="Times New Roman" w:hAnsi="Times New Roman" w:eastAsia="宋体" w:cs="Times New Roman"/>
        </w:rPr>
        <w:t>2.2如中标人放弃中标、或未能在规定时间内与采购单位签订合同的；或者经质疑，采购人审查后，确因排名第一的候选人在本次采购活动中存在违法违规行为或其他原因使质疑成立的，采购人可以视情况直接确定排名第二的候选人为中标人或重新组织招标。</w:t>
      </w:r>
    </w:p>
    <w:p w14:paraId="735443DB">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rPr>
          <w:rFonts w:hint="eastAsia" w:ascii="Times New Roman" w:hAnsi="Times New Roman" w:eastAsia="宋体" w:cs="Times New Roman"/>
        </w:rPr>
      </w:pPr>
      <w:r>
        <w:rPr>
          <w:rFonts w:hint="eastAsia" w:ascii="Times New Roman" w:hAnsi="Times New Roman" w:eastAsia="宋体" w:cs="Times New Roman"/>
        </w:rPr>
        <w:t>中标人确定后，采购人将在温州市中医院官网公告中标结果，</w:t>
      </w:r>
      <w:r>
        <w:rPr>
          <w:rFonts w:hint="eastAsia" w:ascii="Times New Roman" w:hAnsi="Times New Roman" w:eastAsia="宋体" w:cs="Times New Roman"/>
          <w:lang w:val="en-US" w:eastAsia="zh-CN"/>
        </w:rPr>
        <w:t>并通知</w:t>
      </w:r>
      <w:r>
        <w:rPr>
          <w:rFonts w:hint="eastAsia" w:ascii="Times New Roman" w:hAnsi="Times New Roman" w:eastAsia="宋体" w:cs="Times New Roman"/>
        </w:rPr>
        <w:t>中标人</w:t>
      </w:r>
      <w:r>
        <w:rPr>
          <w:rFonts w:hint="eastAsia" w:ascii="Times New Roman" w:hAnsi="Times New Roman" w:eastAsia="宋体" w:cs="Times New Roman"/>
          <w:lang w:val="en-US" w:eastAsia="zh-CN"/>
        </w:rPr>
        <w:t>进行合同的签订及项目具体实施</w:t>
      </w:r>
      <w:r>
        <w:rPr>
          <w:rFonts w:hint="eastAsia" w:ascii="Times New Roman" w:hAnsi="Times New Roman" w:eastAsia="宋体" w:cs="Times New Roman"/>
        </w:rPr>
        <w:t>。</w:t>
      </w:r>
    </w:p>
    <w:p w14:paraId="63F8BA3F">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rPr>
          <w:rFonts w:hint="eastAsia" w:ascii="Times New Roman" w:hAnsi="Times New Roman" w:eastAsia="宋体" w:cs="Times New Roman"/>
        </w:rPr>
      </w:pPr>
    </w:p>
    <w:p w14:paraId="5880202E">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rPr>
          <w:rFonts w:hint="eastAsia" w:ascii="Times New Roman" w:hAnsi="Times New Roman" w:eastAsia="宋体" w:cs="Times New Roman"/>
          <w:lang w:eastAsia="zh-CN"/>
        </w:rPr>
      </w:pPr>
    </w:p>
    <w:p w14:paraId="1D87E72C">
      <w:pPr>
        <w:keepNext/>
        <w:keepLines/>
        <w:pageBreakBefore w:val="0"/>
        <w:widowControl/>
        <w:kinsoku/>
        <w:wordWrap/>
        <w:overflowPunct/>
        <w:topLinePunct w:val="0"/>
        <w:autoSpaceDE/>
        <w:autoSpaceDN/>
        <w:bidi w:val="0"/>
        <w:adjustRightInd/>
        <w:snapToGrid/>
        <w:spacing w:before="0" w:beforeAutospacing="0" w:after="0" w:afterAutospacing="0"/>
        <w:jc w:val="both"/>
        <w:textAlignment w:val="auto"/>
        <w:outlineLvl w:val="2"/>
        <w:rPr>
          <w:sz w:val="32"/>
          <w:szCs w:val="32"/>
        </w:rPr>
      </w:pPr>
      <w:r>
        <w:rPr>
          <w:rFonts w:hint="eastAsia"/>
          <w:b/>
          <w:sz w:val="32"/>
          <w:lang w:val="en-US" w:eastAsia="zh-CN"/>
        </w:rPr>
        <w:t>4</w:t>
      </w:r>
      <w:r>
        <w:rPr>
          <w:rFonts w:hint="eastAsia"/>
          <w:b/>
          <w:sz w:val="32"/>
        </w:rPr>
        <w:t>、技术资信标评分标准（40分）</w:t>
      </w:r>
    </w:p>
    <w:tbl>
      <w:tblPr>
        <w:tblStyle w:val="7"/>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00"/>
        <w:gridCol w:w="1600"/>
        <w:gridCol w:w="5200"/>
        <w:gridCol w:w="900"/>
      </w:tblGrid>
      <w:tr w14:paraId="39A2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00" w:type="dxa"/>
            <w:vAlign w:val="center"/>
          </w:tcPr>
          <w:p w14:paraId="43EEEE32">
            <w:pPr>
              <w:spacing w:before="30" w:after="30" w:line="240" w:lineRule="auto"/>
              <w:jc w:val="both"/>
            </w:pPr>
            <w:r>
              <w:rPr>
                <w:rFonts w:hint="eastAsia"/>
                <w:b/>
              </w:rPr>
              <w:t>序号</w:t>
            </w:r>
          </w:p>
        </w:tc>
        <w:tc>
          <w:tcPr>
            <w:tcW w:w="1600" w:type="dxa"/>
            <w:vAlign w:val="center"/>
          </w:tcPr>
          <w:p w14:paraId="037982FB">
            <w:pPr>
              <w:spacing w:before="30" w:after="30" w:line="240" w:lineRule="auto"/>
              <w:jc w:val="both"/>
            </w:pPr>
            <w:r>
              <w:rPr>
                <w:rFonts w:hint="eastAsia"/>
                <w:b/>
              </w:rPr>
              <w:t>评分内容</w:t>
            </w:r>
          </w:p>
        </w:tc>
        <w:tc>
          <w:tcPr>
            <w:tcW w:w="5200" w:type="dxa"/>
            <w:vAlign w:val="center"/>
          </w:tcPr>
          <w:p w14:paraId="31424571">
            <w:pPr>
              <w:spacing w:before="30" w:after="30" w:line="240" w:lineRule="auto"/>
              <w:jc w:val="both"/>
            </w:pPr>
            <w:r>
              <w:rPr>
                <w:rFonts w:hint="eastAsia"/>
                <w:b/>
              </w:rPr>
              <w:t>评分细则</w:t>
            </w:r>
          </w:p>
        </w:tc>
        <w:tc>
          <w:tcPr>
            <w:tcW w:w="900" w:type="dxa"/>
            <w:vAlign w:val="center"/>
          </w:tcPr>
          <w:p w14:paraId="31601EF3">
            <w:pPr>
              <w:spacing w:before="30" w:after="30" w:line="240" w:lineRule="auto"/>
              <w:jc w:val="both"/>
            </w:pPr>
            <w:r>
              <w:rPr>
                <w:rFonts w:hint="eastAsia"/>
                <w:b/>
              </w:rPr>
              <w:t>分值</w:t>
            </w:r>
          </w:p>
        </w:tc>
      </w:tr>
      <w:tr w14:paraId="74FF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00" w:type="dxa"/>
            <w:vAlign w:val="center"/>
          </w:tcPr>
          <w:p w14:paraId="2060B1DA">
            <w:pPr>
              <w:spacing w:before="30" w:after="30" w:line="240" w:lineRule="auto"/>
              <w:jc w:val="both"/>
            </w:pPr>
            <w:r>
              <w:t>1</w:t>
            </w:r>
          </w:p>
        </w:tc>
        <w:tc>
          <w:tcPr>
            <w:tcW w:w="1600" w:type="dxa"/>
            <w:vAlign w:val="center"/>
          </w:tcPr>
          <w:p w14:paraId="429B8232">
            <w:pPr>
              <w:spacing w:before="30" w:after="30" w:line="240" w:lineRule="auto"/>
              <w:jc w:val="both"/>
            </w:pPr>
            <w:r>
              <w:rPr>
                <w:rFonts w:hint="eastAsia"/>
              </w:rPr>
              <w:t>业绩</w:t>
            </w:r>
          </w:p>
        </w:tc>
        <w:tc>
          <w:tcPr>
            <w:tcW w:w="5200" w:type="dxa"/>
            <w:vAlign w:val="center"/>
          </w:tcPr>
          <w:p w14:paraId="14933B6A">
            <w:pPr>
              <w:spacing w:before="30" w:after="30" w:line="240" w:lineRule="auto"/>
              <w:jc w:val="both"/>
              <w:rPr>
                <w:rFonts w:hint="eastAsia" w:eastAsia="宋体"/>
                <w:lang w:eastAsia="zh-CN"/>
              </w:rPr>
            </w:pPr>
            <w:r>
              <w:rPr>
                <w:rFonts w:hint="eastAsia"/>
              </w:rPr>
              <w:t>提供2024年1月1日以来</w:t>
            </w:r>
            <w:r>
              <w:rPr>
                <w:rFonts w:hint="eastAsia"/>
                <w:lang w:val="en-US" w:eastAsia="zh-CN"/>
              </w:rPr>
              <w:t>中央</w:t>
            </w:r>
            <w:r>
              <w:rPr>
                <w:rFonts w:hint="eastAsia"/>
              </w:rPr>
              <w:t>空调</w:t>
            </w:r>
            <w:r>
              <w:rPr>
                <w:rFonts w:hint="eastAsia"/>
                <w:lang w:val="en-US" w:eastAsia="zh-CN"/>
              </w:rPr>
              <w:t>机组</w:t>
            </w:r>
            <w:r>
              <w:rPr>
                <w:rFonts w:hint="eastAsia"/>
              </w:rPr>
              <w:t>维修合同，提供一份得1分；该项最多得4分（以合同</w:t>
            </w:r>
            <w:r>
              <w:rPr>
                <w:rFonts w:hint="eastAsia"/>
                <w:lang w:val="en-US" w:eastAsia="zh-CN"/>
              </w:rPr>
              <w:t>签订时间</w:t>
            </w:r>
            <w:r>
              <w:rPr>
                <w:rFonts w:hint="eastAsia"/>
              </w:rPr>
              <w:t>为准，提供复印件并加盖公章）。</w:t>
            </w:r>
            <w:r>
              <w:rPr>
                <w:rFonts w:hint="eastAsia"/>
                <w:lang w:eastAsia="zh-CN"/>
              </w:rPr>
              <w:t>（</w:t>
            </w:r>
            <w:r>
              <w:rPr>
                <w:rFonts w:hint="eastAsia"/>
                <w:lang w:val="en-US" w:eastAsia="zh-CN"/>
              </w:rPr>
              <w:t>与同一采购人签订的多份合同视为1个业绩</w:t>
            </w:r>
            <w:r>
              <w:rPr>
                <w:rFonts w:hint="eastAsia"/>
                <w:lang w:eastAsia="zh-CN"/>
              </w:rPr>
              <w:t>）</w:t>
            </w:r>
          </w:p>
        </w:tc>
        <w:tc>
          <w:tcPr>
            <w:tcW w:w="900" w:type="dxa"/>
            <w:vAlign w:val="center"/>
          </w:tcPr>
          <w:p w14:paraId="7F3D4FD2">
            <w:pPr>
              <w:spacing w:before="30" w:after="30" w:line="240" w:lineRule="auto"/>
              <w:jc w:val="both"/>
            </w:pPr>
            <w:r>
              <w:t>4</w:t>
            </w:r>
          </w:p>
        </w:tc>
      </w:tr>
      <w:tr w14:paraId="78B2D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00" w:type="dxa"/>
            <w:vAlign w:val="center"/>
          </w:tcPr>
          <w:p w14:paraId="1598C500">
            <w:pPr>
              <w:spacing w:before="30" w:after="30" w:line="240" w:lineRule="auto"/>
              <w:jc w:val="both"/>
            </w:pPr>
            <w:r>
              <w:t>2</w:t>
            </w:r>
          </w:p>
        </w:tc>
        <w:tc>
          <w:tcPr>
            <w:tcW w:w="1600" w:type="dxa"/>
            <w:vAlign w:val="center"/>
          </w:tcPr>
          <w:p w14:paraId="3864FC25">
            <w:pPr>
              <w:spacing w:before="30" w:after="30" w:line="240" w:lineRule="auto"/>
              <w:jc w:val="both"/>
            </w:pPr>
            <w:r>
              <w:rPr>
                <w:rFonts w:hint="eastAsia"/>
              </w:rPr>
              <w:t>项目实施方案</w:t>
            </w:r>
          </w:p>
        </w:tc>
        <w:tc>
          <w:tcPr>
            <w:tcW w:w="5200" w:type="dxa"/>
            <w:vAlign w:val="center"/>
          </w:tcPr>
          <w:p w14:paraId="3BDEAF4B">
            <w:pPr>
              <w:spacing w:before="30" w:after="30" w:line="240" w:lineRule="auto"/>
              <w:jc w:val="both"/>
              <w:rPr>
                <w:rFonts w:hint="eastAsia"/>
              </w:rPr>
            </w:pPr>
            <w:r>
              <w:rPr>
                <w:rFonts w:hint="eastAsia"/>
              </w:rPr>
              <w:t>结合本项目风冷螺杆机组蒸发器更换实际</w:t>
            </w:r>
            <w:r>
              <w:rPr>
                <w:rFonts w:hint="default"/>
                <w:woUserID w:val="1"/>
              </w:rPr>
              <w:t>操作</w:t>
            </w:r>
            <w:r>
              <w:rPr>
                <w:rFonts w:hint="eastAsia"/>
              </w:rPr>
              <w:t>，</w:t>
            </w:r>
            <w:r>
              <w:rPr>
                <w:rFonts w:hint="default"/>
                <w:woUserID w:val="1"/>
              </w:rPr>
              <w:t>针对</w:t>
            </w:r>
            <w:r>
              <w:rPr>
                <w:rFonts w:hint="eastAsia"/>
              </w:rPr>
              <w:t>系统</w:t>
            </w:r>
            <w:r>
              <w:rPr>
                <w:rFonts w:hint="default"/>
                <w:woUserID w:val="1"/>
              </w:rPr>
              <w:t>安装及调试</w:t>
            </w:r>
            <w:r>
              <w:rPr>
                <w:rFonts w:hint="eastAsia"/>
              </w:rPr>
              <w:t>、冷媒充注、焊接与检漏、吊装作业安全</w:t>
            </w:r>
            <w:r>
              <w:rPr>
                <w:rFonts w:hint="default"/>
                <w:woUserID w:val="1"/>
              </w:rPr>
              <w:t>保障</w:t>
            </w:r>
            <w:r>
              <w:rPr>
                <w:rFonts w:hint="eastAsia"/>
              </w:rPr>
              <w:t>等重点难点逐项识别并提出对策。</w:t>
            </w:r>
          </w:p>
          <w:p w14:paraId="253E76E5">
            <w:pPr>
              <w:spacing w:before="30" w:after="30" w:line="240" w:lineRule="auto"/>
              <w:jc w:val="both"/>
              <w:rPr>
                <w:rFonts w:hint="eastAsia"/>
              </w:rPr>
            </w:pPr>
            <w:r>
              <w:rPr>
                <w:rFonts w:hint="eastAsia"/>
              </w:rPr>
              <w:t>全面准确、对策可行的得 5</w:t>
            </w:r>
            <w:r>
              <w:rPr>
                <w:rFonts w:hint="eastAsia"/>
                <w:lang w:eastAsia="zh-CN"/>
              </w:rPr>
              <w:t>、</w:t>
            </w:r>
            <w:r>
              <w:rPr>
                <w:rFonts w:hint="eastAsia"/>
              </w:rPr>
              <w:t>6 分；</w:t>
            </w:r>
          </w:p>
          <w:p w14:paraId="0F78BC50">
            <w:pPr>
              <w:spacing w:before="30" w:after="30" w:line="240" w:lineRule="auto"/>
              <w:jc w:val="both"/>
              <w:rPr>
                <w:rFonts w:hint="eastAsia"/>
              </w:rPr>
            </w:pPr>
            <w:r>
              <w:rPr>
                <w:rFonts w:hint="eastAsia"/>
              </w:rPr>
              <w:t>基本到位、对策可行的得 3</w:t>
            </w:r>
            <w:r>
              <w:rPr>
                <w:rFonts w:hint="eastAsia"/>
                <w:lang w:eastAsia="zh-CN"/>
              </w:rPr>
              <w:t>、</w:t>
            </w:r>
            <w:r>
              <w:rPr>
                <w:rFonts w:hint="eastAsia"/>
              </w:rPr>
              <w:t>4 分；</w:t>
            </w:r>
          </w:p>
          <w:p w14:paraId="68A3FC63">
            <w:pPr>
              <w:spacing w:before="30" w:after="30" w:line="240" w:lineRule="auto"/>
              <w:jc w:val="both"/>
              <w:rPr>
                <w:rFonts w:hint="eastAsia"/>
              </w:rPr>
            </w:pPr>
            <w:r>
              <w:rPr>
                <w:rFonts w:hint="eastAsia"/>
              </w:rPr>
              <w:t>分析笼统、针对性不足的得 1</w:t>
            </w:r>
            <w:r>
              <w:rPr>
                <w:rFonts w:hint="eastAsia"/>
                <w:lang w:eastAsia="zh-CN"/>
              </w:rPr>
              <w:t>、</w:t>
            </w:r>
            <w:r>
              <w:rPr>
                <w:rFonts w:hint="eastAsia"/>
              </w:rPr>
              <w:t>2 分；</w:t>
            </w:r>
          </w:p>
          <w:p w14:paraId="5FE02135">
            <w:pPr>
              <w:spacing w:before="30" w:after="30" w:line="240" w:lineRule="auto"/>
              <w:jc w:val="both"/>
            </w:pPr>
            <w:r>
              <w:rPr>
                <w:rFonts w:hint="eastAsia"/>
              </w:rPr>
              <w:t>未提供或与本项目无关的得 0 分。</w:t>
            </w:r>
          </w:p>
        </w:tc>
        <w:tc>
          <w:tcPr>
            <w:tcW w:w="900" w:type="dxa"/>
            <w:vAlign w:val="center"/>
          </w:tcPr>
          <w:p w14:paraId="2AB017E6">
            <w:pPr>
              <w:spacing w:before="30" w:after="30" w:line="240" w:lineRule="auto"/>
              <w:jc w:val="both"/>
            </w:pPr>
            <w:r>
              <w:t>6</w:t>
            </w:r>
          </w:p>
        </w:tc>
      </w:tr>
      <w:tr w14:paraId="1311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00" w:type="dxa"/>
            <w:vAlign w:val="center"/>
          </w:tcPr>
          <w:p w14:paraId="3574D904">
            <w:pPr>
              <w:jc w:val="both"/>
            </w:pPr>
          </w:p>
        </w:tc>
        <w:tc>
          <w:tcPr>
            <w:tcW w:w="1600" w:type="dxa"/>
            <w:vAlign w:val="center"/>
          </w:tcPr>
          <w:p w14:paraId="4AEA3594">
            <w:pPr>
              <w:jc w:val="both"/>
            </w:pPr>
          </w:p>
        </w:tc>
        <w:tc>
          <w:tcPr>
            <w:tcW w:w="5200" w:type="dxa"/>
            <w:vAlign w:val="center"/>
          </w:tcPr>
          <w:p w14:paraId="76402E86">
            <w:pPr>
              <w:spacing w:before="30" w:after="30" w:line="240" w:lineRule="auto"/>
              <w:jc w:val="both"/>
              <w:rPr>
                <w:rFonts w:hint="eastAsia"/>
              </w:rPr>
            </w:pPr>
            <w:r>
              <w:rPr>
                <w:rFonts w:hint="default"/>
                <w:woUserID w:val="1"/>
              </w:rPr>
              <w:t>根据</w:t>
            </w:r>
            <w:r>
              <w:rPr>
                <w:rFonts w:hint="eastAsia"/>
              </w:rPr>
              <w:t>施工流程、工序衔接与进度计划；项目负责人、技术负责人、焊工、制冷工等岗位配置</w:t>
            </w:r>
            <w:r>
              <w:rPr>
                <w:rFonts w:hint="default"/>
                <w:woUserID w:val="1"/>
              </w:rPr>
              <w:t>及</w:t>
            </w:r>
            <w:r>
              <w:rPr>
                <w:rFonts w:hint="eastAsia"/>
              </w:rPr>
              <w:t>持证上岗</w:t>
            </w:r>
            <w:r>
              <w:rPr>
                <w:rFonts w:hint="default"/>
                <w:woUserID w:val="1"/>
              </w:rPr>
              <w:t>情况</w:t>
            </w:r>
            <w:r>
              <w:rPr>
                <w:rFonts w:hint="eastAsia"/>
              </w:rPr>
              <w:t>；机具与检测仪表配置满足工艺需要</w:t>
            </w:r>
            <w:r>
              <w:rPr>
                <w:rFonts w:hint="default"/>
                <w:woUserID w:val="1"/>
              </w:rPr>
              <w:t>情况</w:t>
            </w:r>
            <w:r>
              <w:rPr>
                <w:rFonts w:hint="eastAsia"/>
              </w:rPr>
              <w:t>。</w:t>
            </w:r>
          </w:p>
          <w:p w14:paraId="43639A2E">
            <w:pPr>
              <w:spacing w:before="30" w:after="30" w:line="240" w:lineRule="auto"/>
              <w:jc w:val="both"/>
              <w:rPr>
                <w:rFonts w:hint="eastAsia"/>
              </w:rPr>
            </w:pPr>
            <w:r>
              <w:rPr>
                <w:rFonts w:hint="eastAsia"/>
              </w:rPr>
              <w:t>方案完整、分工明确、进度可行的得1</w:t>
            </w:r>
            <w:r>
              <w:rPr>
                <w:rFonts w:hint="eastAsia"/>
                <w:lang w:val="en-US" w:eastAsia="zh-CN"/>
              </w:rPr>
              <w:t>4、16、18</w:t>
            </w:r>
            <w:r>
              <w:rPr>
                <w:rFonts w:hint="eastAsia"/>
              </w:rPr>
              <w:t xml:space="preserve"> 分；</w:t>
            </w:r>
          </w:p>
          <w:p w14:paraId="08F9946C">
            <w:pPr>
              <w:spacing w:before="30" w:after="30" w:line="240" w:lineRule="auto"/>
              <w:jc w:val="both"/>
              <w:rPr>
                <w:rFonts w:hint="eastAsia"/>
              </w:rPr>
            </w:pPr>
            <w:r>
              <w:rPr>
                <w:rFonts w:hint="eastAsia"/>
              </w:rPr>
              <w:t>较完整、分工基本明确的得</w:t>
            </w:r>
            <w:r>
              <w:rPr>
                <w:rFonts w:hint="eastAsia"/>
                <w:lang w:val="en-US" w:eastAsia="zh-CN"/>
              </w:rPr>
              <w:t>9、11、13</w:t>
            </w:r>
            <w:r>
              <w:rPr>
                <w:rFonts w:hint="eastAsia"/>
              </w:rPr>
              <w:t>分；</w:t>
            </w:r>
          </w:p>
          <w:p w14:paraId="3101FA87">
            <w:pPr>
              <w:spacing w:before="30" w:after="30" w:line="240" w:lineRule="auto"/>
              <w:jc w:val="both"/>
              <w:rPr>
                <w:rFonts w:hint="eastAsia"/>
              </w:rPr>
            </w:pPr>
            <w:r>
              <w:rPr>
                <w:rFonts w:hint="eastAsia"/>
              </w:rPr>
              <w:t>内容简单、分工不清的得</w:t>
            </w:r>
            <w:r>
              <w:rPr>
                <w:rFonts w:hint="eastAsia"/>
                <w:lang w:val="en-US" w:eastAsia="zh-CN"/>
              </w:rPr>
              <w:t>4、6、8</w:t>
            </w:r>
            <w:r>
              <w:rPr>
                <w:rFonts w:hint="eastAsia"/>
              </w:rPr>
              <w:t>分；</w:t>
            </w:r>
          </w:p>
          <w:p w14:paraId="0F5E8092">
            <w:pPr>
              <w:spacing w:before="30" w:after="30" w:line="240" w:lineRule="auto"/>
              <w:jc w:val="both"/>
            </w:pPr>
            <w:r>
              <w:rPr>
                <w:rFonts w:hint="eastAsia"/>
              </w:rPr>
              <w:t>方案缺失或明显不可行的得0</w:t>
            </w:r>
            <w:r>
              <w:rPr>
                <w:rFonts w:hint="eastAsia"/>
                <w:lang w:eastAsia="zh-CN"/>
              </w:rPr>
              <w:t>、</w:t>
            </w:r>
            <w:r>
              <w:rPr>
                <w:rFonts w:hint="eastAsia"/>
                <w:lang w:val="en-US" w:eastAsia="zh-CN"/>
              </w:rPr>
              <w:t>1、3</w:t>
            </w:r>
            <w:r>
              <w:rPr>
                <w:rFonts w:hint="eastAsia"/>
              </w:rPr>
              <w:t>分。</w:t>
            </w:r>
          </w:p>
        </w:tc>
        <w:tc>
          <w:tcPr>
            <w:tcW w:w="900" w:type="dxa"/>
            <w:vAlign w:val="center"/>
          </w:tcPr>
          <w:p w14:paraId="7441FBAE">
            <w:pPr>
              <w:spacing w:before="30" w:after="30" w:line="240" w:lineRule="auto"/>
              <w:jc w:val="both"/>
              <w:rPr>
                <w:rFonts w:hint="default" w:eastAsia="宋体"/>
                <w:lang w:val="en-US" w:eastAsia="zh-CN"/>
              </w:rPr>
            </w:pPr>
            <w:r>
              <w:rPr>
                <w:rFonts w:hint="eastAsia"/>
                <w:lang w:val="en-US" w:eastAsia="zh-CN"/>
              </w:rPr>
              <w:t>18</w:t>
            </w:r>
          </w:p>
        </w:tc>
      </w:tr>
      <w:tr w14:paraId="04ED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00" w:type="dxa"/>
            <w:vAlign w:val="center"/>
          </w:tcPr>
          <w:p w14:paraId="0EE40216">
            <w:pPr>
              <w:jc w:val="both"/>
            </w:pPr>
          </w:p>
        </w:tc>
        <w:tc>
          <w:tcPr>
            <w:tcW w:w="1600" w:type="dxa"/>
            <w:vAlign w:val="center"/>
          </w:tcPr>
          <w:p w14:paraId="0C18D150">
            <w:pPr>
              <w:jc w:val="both"/>
            </w:pPr>
          </w:p>
        </w:tc>
        <w:tc>
          <w:tcPr>
            <w:tcW w:w="5200" w:type="dxa"/>
            <w:vAlign w:val="center"/>
          </w:tcPr>
          <w:p w14:paraId="77649FAB">
            <w:pPr>
              <w:spacing w:before="30" w:after="30" w:line="240" w:lineRule="auto"/>
              <w:jc w:val="both"/>
              <w:rPr>
                <w:rFonts w:hint="eastAsia"/>
              </w:rPr>
            </w:pPr>
            <w:r>
              <w:rPr>
                <w:rFonts w:hint="eastAsia"/>
              </w:rPr>
              <w:t>针对</w:t>
            </w:r>
            <w:r>
              <w:rPr>
                <w:rFonts w:hint="default"/>
                <w:woUserID w:val="1"/>
              </w:rPr>
              <w:t>本项目</w:t>
            </w:r>
            <w:r>
              <w:rPr>
                <w:rFonts w:hint="eastAsia"/>
              </w:rPr>
              <w:t>动火、吊装作业提出具体防护与审批措施；明确降噪、防尘</w:t>
            </w:r>
            <w:r>
              <w:rPr>
                <w:rFonts w:hint="default"/>
                <w:woUserID w:val="1"/>
              </w:rPr>
              <w:t>及</w:t>
            </w:r>
            <w:r>
              <w:rPr>
                <w:rFonts w:hint="eastAsia"/>
              </w:rPr>
              <w:t>施工废弃物清运处置方式。</w:t>
            </w:r>
          </w:p>
          <w:p w14:paraId="04CAC3A5">
            <w:pPr>
              <w:spacing w:before="30" w:after="30" w:line="240" w:lineRule="auto"/>
              <w:jc w:val="both"/>
              <w:rPr>
                <w:rFonts w:hint="eastAsia"/>
              </w:rPr>
            </w:pPr>
            <w:r>
              <w:rPr>
                <w:rFonts w:hint="eastAsia"/>
              </w:rPr>
              <w:t>措施具体可落地的得5</w:t>
            </w:r>
            <w:r>
              <w:rPr>
                <w:rFonts w:hint="eastAsia"/>
                <w:lang w:eastAsia="zh-CN"/>
              </w:rPr>
              <w:t>、</w:t>
            </w:r>
            <w:r>
              <w:rPr>
                <w:rFonts w:hint="eastAsia"/>
              </w:rPr>
              <w:t>6分；</w:t>
            </w:r>
          </w:p>
          <w:p w14:paraId="12978A36">
            <w:pPr>
              <w:spacing w:before="30" w:after="30" w:line="240" w:lineRule="auto"/>
              <w:jc w:val="both"/>
              <w:rPr>
                <w:rFonts w:hint="eastAsia"/>
              </w:rPr>
            </w:pPr>
            <w:r>
              <w:rPr>
                <w:rFonts w:hint="eastAsia"/>
              </w:rPr>
              <w:t>基本完整的得3</w:t>
            </w:r>
            <w:r>
              <w:rPr>
                <w:rFonts w:hint="eastAsia"/>
                <w:lang w:eastAsia="zh-CN"/>
              </w:rPr>
              <w:t>、</w:t>
            </w:r>
            <w:r>
              <w:rPr>
                <w:rFonts w:hint="eastAsia"/>
              </w:rPr>
              <w:t>4分；</w:t>
            </w:r>
          </w:p>
          <w:p w14:paraId="514D035F">
            <w:pPr>
              <w:spacing w:before="30" w:after="30" w:line="240" w:lineRule="auto"/>
              <w:jc w:val="both"/>
              <w:rPr>
                <w:rFonts w:hint="eastAsia"/>
              </w:rPr>
            </w:pPr>
            <w:r>
              <w:rPr>
                <w:rFonts w:hint="eastAsia"/>
              </w:rPr>
              <w:t>表述笼统的得1</w:t>
            </w:r>
            <w:r>
              <w:rPr>
                <w:rFonts w:hint="eastAsia"/>
                <w:lang w:eastAsia="zh-CN"/>
              </w:rPr>
              <w:t>、</w:t>
            </w:r>
            <w:r>
              <w:rPr>
                <w:rFonts w:hint="eastAsia"/>
              </w:rPr>
              <w:t>2分；</w:t>
            </w:r>
          </w:p>
          <w:p w14:paraId="62985228">
            <w:pPr>
              <w:spacing w:before="30" w:after="30" w:line="240" w:lineRule="auto"/>
              <w:jc w:val="both"/>
            </w:pPr>
            <w:r>
              <w:rPr>
                <w:rFonts w:hint="eastAsia"/>
              </w:rPr>
              <w:t>未提供的得0分。</w:t>
            </w:r>
          </w:p>
        </w:tc>
        <w:tc>
          <w:tcPr>
            <w:tcW w:w="900" w:type="dxa"/>
            <w:vAlign w:val="center"/>
          </w:tcPr>
          <w:p w14:paraId="651253CD">
            <w:pPr>
              <w:spacing w:before="30" w:after="30" w:line="240" w:lineRule="auto"/>
              <w:jc w:val="both"/>
            </w:pPr>
            <w:r>
              <w:t>6</w:t>
            </w:r>
          </w:p>
        </w:tc>
      </w:tr>
      <w:tr w14:paraId="40F2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00" w:type="dxa"/>
            <w:vAlign w:val="center"/>
          </w:tcPr>
          <w:p w14:paraId="0BC1583C">
            <w:pPr>
              <w:spacing w:before="30" w:after="30" w:line="240" w:lineRule="auto"/>
              <w:jc w:val="both"/>
            </w:pPr>
            <w:r>
              <w:t>3</w:t>
            </w:r>
          </w:p>
        </w:tc>
        <w:tc>
          <w:tcPr>
            <w:tcW w:w="1600" w:type="dxa"/>
            <w:vAlign w:val="center"/>
          </w:tcPr>
          <w:p w14:paraId="2319AF7D">
            <w:pPr>
              <w:spacing w:before="30" w:after="30" w:line="240" w:lineRule="auto"/>
              <w:jc w:val="both"/>
            </w:pPr>
            <w:r>
              <w:rPr>
                <w:rFonts w:hint="eastAsia"/>
              </w:rPr>
              <w:t>售后服务</w:t>
            </w:r>
          </w:p>
        </w:tc>
        <w:tc>
          <w:tcPr>
            <w:tcW w:w="5200" w:type="dxa"/>
            <w:vAlign w:val="center"/>
          </w:tcPr>
          <w:p w14:paraId="24545E97">
            <w:pPr>
              <w:spacing w:before="30" w:after="30" w:line="240" w:lineRule="auto"/>
              <w:jc w:val="both"/>
              <w:rPr>
                <w:rFonts w:hint="eastAsia"/>
              </w:rPr>
            </w:pPr>
            <w:r>
              <w:rPr>
                <w:rFonts w:hint="eastAsia"/>
              </w:rPr>
              <w:t>故障响应时间、到场时间、修复时限明确；在温州市区设有服务网点或常驻技术人员；提供定期回访及维保方案。</w:t>
            </w:r>
          </w:p>
          <w:p w14:paraId="7C4CACA5">
            <w:pPr>
              <w:spacing w:before="30" w:after="30" w:line="240" w:lineRule="auto"/>
              <w:jc w:val="both"/>
              <w:rPr>
                <w:rFonts w:hint="eastAsia"/>
              </w:rPr>
            </w:pPr>
            <w:r>
              <w:rPr>
                <w:rFonts w:hint="eastAsia"/>
              </w:rPr>
              <w:t>承诺完整、时限明确、可核查的得4</w:t>
            </w:r>
            <w:r>
              <w:rPr>
                <w:rFonts w:hint="eastAsia"/>
                <w:lang w:eastAsia="zh-CN"/>
              </w:rPr>
              <w:t>、</w:t>
            </w:r>
            <w:r>
              <w:rPr>
                <w:rFonts w:hint="eastAsia"/>
                <w:lang w:val="en-US" w:eastAsia="zh-CN"/>
              </w:rPr>
              <w:t>5、6</w:t>
            </w:r>
            <w:r>
              <w:rPr>
                <w:rFonts w:hint="eastAsia"/>
              </w:rPr>
              <w:t>分；</w:t>
            </w:r>
          </w:p>
          <w:p w14:paraId="72B56F49">
            <w:pPr>
              <w:spacing w:before="30" w:after="30" w:line="240" w:lineRule="auto"/>
              <w:jc w:val="both"/>
              <w:rPr>
                <w:rFonts w:hint="eastAsia"/>
              </w:rPr>
            </w:pPr>
            <w:r>
              <w:rPr>
                <w:rFonts w:hint="eastAsia"/>
              </w:rPr>
              <w:t>较完整、时限明确的得2</w:t>
            </w:r>
            <w:r>
              <w:rPr>
                <w:rFonts w:hint="eastAsia"/>
                <w:lang w:eastAsia="zh-CN"/>
              </w:rPr>
              <w:t>、</w:t>
            </w:r>
            <w:r>
              <w:rPr>
                <w:rFonts w:hint="eastAsia"/>
              </w:rPr>
              <w:t>3分；</w:t>
            </w:r>
          </w:p>
          <w:p w14:paraId="0B11EA0C">
            <w:pPr>
              <w:spacing w:before="30" w:after="30" w:line="240" w:lineRule="auto"/>
              <w:jc w:val="both"/>
              <w:rPr>
                <w:rFonts w:hint="eastAsia"/>
              </w:rPr>
            </w:pPr>
            <w:r>
              <w:rPr>
                <w:rFonts w:hint="eastAsia"/>
              </w:rPr>
              <w:t>笼统、无具体时限的得1分；</w:t>
            </w:r>
          </w:p>
          <w:p w14:paraId="1030D289">
            <w:pPr>
              <w:spacing w:before="30" w:after="30" w:line="240" w:lineRule="auto"/>
              <w:jc w:val="both"/>
            </w:pPr>
            <w:r>
              <w:rPr>
                <w:rFonts w:hint="eastAsia"/>
              </w:rPr>
              <w:t>未提供承诺的得0分。</w:t>
            </w:r>
          </w:p>
        </w:tc>
        <w:tc>
          <w:tcPr>
            <w:tcW w:w="900" w:type="dxa"/>
            <w:vAlign w:val="center"/>
          </w:tcPr>
          <w:p w14:paraId="36EC3EC4">
            <w:pPr>
              <w:spacing w:before="30" w:after="30" w:line="240" w:lineRule="auto"/>
              <w:jc w:val="both"/>
              <w:rPr>
                <w:rFonts w:hint="eastAsia" w:eastAsia="宋体"/>
                <w:lang w:eastAsia="zh-CN"/>
              </w:rPr>
            </w:pPr>
            <w:r>
              <w:rPr>
                <w:rFonts w:hint="eastAsia"/>
                <w:lang w:val="en-US" w:eastAsia="zh-CN"/>
              </w:rPr>
              <w:t>6</w:t>
            </w:r>
          </w:p>
        </w:tc>
      </w:tr>
      <w:tr w14:paraId="48942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300" w:type="dxa"/>
            <w:gridSpan w:val="2"/>
            <w:vAlign w:val="center"/>
          </w:tcPr>
          <w:p w14:paraId="644A8A88">
            <w:pPr>
              <w:spacing w:before="30" w:after="30" w:line="240" w:lineRule="auto"/>
              <w:jc w:val="both"/>
              <w:rPr>
                <w:rFonts w:hint="eastAsia" w:eastAsia="宋体"/>
                <w:lang w:val="en-US" w:eastAsia="zh-CN"/>
              </w:rPr>
            </w:pPr>
            <w:r>
              <w:rPr>
                <w:rFonts w:hint="eastAsia"/>
                <w:lang w:val="en-US" w:eastAsia="zh-CN"/>
              </w:rPr>
              <w:t>总分</w:t>
            </w:r>
          </w:p>
        </w:tc>
        <w:tc>
          <w:tcPr>
            <w:tcW w:w="6100" w:type="dxa"/>
            <w:gridSpan w:val="2"/>
            <w:vAlign w:val="center"/>
          </w:tcPr>
          <w:p w14:paraId="180D4FFA">
            <w:pPr>
              <w:spacing w:before="30" w:after="30" w:line="240" w:lineRule="auto"/>
              <w:jc w:val="both"/>
              <w:rPr>
                <w:rFonts w:hint="default" w:eastAsia="宋体"/>
                <w:lang w:val="en-US" w:eastAsia="zh-CN"/>
              </w:rPr>
            </w:pPr>
            <w:r>
              <w:rPr>
                <w:rFonts w:hint="eastAsia"/>
                <w:lang w:val="en-US" w:eastAsia="zh-CN"/>
              </w:rPr>
              <w:t>40</w:t>
            </w:r>
          </w:p>
        </w:tc>
      </w:tr>
    </w:tbl>
    <w:p w14:paraId="4F502885">
      <w:pPr>
        <w:keepNext/>
        <w:keepLines/>
        <w:pageBreakBefore w:val="0"/>
        <w:widowControl/>
        <w:kinsoku/>
        <w:wordWrap/>
        <w:overflowPunct/>
        <w:topLinePunct w:val="0"/>
        <w:autoSpaceDE/>
        <w:autoSpaceDN/>
        <w:bidi w:val="0"/>
        <w:adjustRightInd/>
        <w:snapToGrid/>
        <w:spacing w:before="0" w:beforeAutospacing="0" w:after="0" w:afterAutospacing="0"/>
        <w:jc w:val="both"/>
        <w:textAlignment w:val="auto"/>
        <w:outlineLvl w:val="2"/>
        <w:rPr>
          <w:sz w:val="32"/>
          <w:szCs w:val="32"/>
        </w:rPr>
      </w:pPr>
      <w:bookmarkStart w:id="0" w:name="_GoBack"/>
      <w:bookmarkEnd w:id="0"/>
      <w:r>
        <w:rPr>
          <w:rFonts w:hint="eastAsia"/>
          <w:b/>
          <w:sz w:val="32"/>
          <w:lang w:val="en-US" w:eastAsia="zh-CN"/>
        </w:rPr>
        <w:t>5</w:t>
      </w:r>
      <w:r>
        <w:rPr>
          <w:rFonts w:hint="eastAsia"/>
          <w:b/>
          <w:sz w:val="32"/>
        </w:rPr>
        <w:t>、商务标评分标准（60分）</w:t>
      </w:r>
    </w:p>
    <w:tbl>
      <w:tblPr>
        <w:tblStyle w:val="7"/>
        <w:tblW w:w="8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400"/>
        <w:gridCol w:w="5900"/>
      </w:tblGrid>
      <w:tr w14:paraId="0B20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400" w:type="dxa"/>
            <w:vAlign w:val="center"/>
          </w:tcPr>
          <w:p w14:paraId="2604AB37">
            <w:pPr>
              <w:spacing w:before="30" w:after="30" w:line="240" w:lineRule="auto"/>
              <w:jc w:val="both"/>
            </w:pPr>
            <w:r>
              <w:rPr>
                <w:rFonts w:hint="eastAsia"/>
                <w:b/>
              </w:rPr>
              <w:t>评审因素</w:t>
            </w:r>
          </w:p>
        </w:tc>
        <w:tc>
          <w:tcPr>
            <w:tcW w:w="5900" w:type="dxa"/>
            <w:vAlign w:val="center"/>
          </w:tcPr>
          <w:p w14:paraId="0E5C48A7">
            <w:pPr>
              <w:spacing w:before="30" w:after="30" w:line="240" w:lineRule="auto"/>
              <w:jc w:val="both"/>
            </w:pPr>
            <w:r>
              <w:rPr>
                <w:rFonts w:hint="eastAsia"/>
                <w:b/>
              </w:rPr>
              <w:t>评审标准</w:t>
            </w:r>
          </w:p>
        </w:tc>
      </w:tr>
      <w:tr w14:paraId="66CC1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400" w:type="dxa"/>
            <w:vAlign w:val="center"/>
          </w:tcPr>
          <w:p w14:paraId="2E2C214D">
            <w:pPr>
              <w:spacing w:before="30" w:after="30" w:line="240" w:lineRule="auto"/>
              <w:jc w:val="both"/>
            </w:pPr>
            <w:r>
              <w:rPr>
                <w:rFonts w:hint="eastAsia"/>
              </w:rPr>
              <w:t>预算金额</w:t>
            </w:r>
          </w:p>
        </w:tc>
        <w:tc>
          <w:tcPr>
            <w:tcW w:w="5900" w:type="dxa"/>
            <w:vAlign w:val="center"/>
          </w:tcPr>
          <w:p w14:paraId="2D604E3E">
            <w:pPr>
              <w:spacing w:before="30" w:after="30" w:line="240" w:lineRule="auto"/>
              <w:jc w:val="both"/>
              <w:rPr>
                <w:rFonts w:hint="default" w:eastAsia="宋体"/>
                <w:lang w:val="en-US" w:eastAsia="zh-CN"/>
              </w:rPr>
            </w:pPr>
            <w:r>
              <w:rPr>
                <w:rFonts w:hint="eastAsia"/>
                <w:lang w:val="en-US" w:eastAsia="zh-CN"/>
              </w:rPr>
              <w:t>58000元</w:t>
            </w:r>
          </w:p>
        </w:tc>
      </w:tr>
      <w:tr w14:paraId="4B8B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400" w:type="dxa"/>
            <w:vAlign w:val="center"/>
          </w:tcPr>
          <w:p w14:paraId="7901A915">
            <w:pPr>
              <w:spacing w:before="30" w:after="30" w:line="240" w:lineRule="auto"/>
              <w:jc w:val="both"/>
            </w:pPr>
            <w:r>
              <w:rPr>
                <w:rFonts w:hint="eastAsia"/>
              </w:rPr>
              <w:t>评标基准价计算方法</w:t>
            </w:r>
          </w:p>
        </w:tc>
        <w:tc>
          <w:tcPr>
            <w:tcW w:w="5900" w:type="dxa"/>
            <w:vAlign w:val="center"/>
          </w:tcPr>
          <w:p w14:paraId="3DED2385">
            <w:pPr>
              <w:spacing w:before="30" w:after="30" w:line="240" w:lineRule="auto"/>
              <w:jc w:val="both"/>
            </w:pPr>
            <w:r>
              <w:rPr>
                <w:rFonts w:hint="eastAsia"/>
              </w:rPr>
              <w:t>评标基准价=所有有效报价的最低价，评标基准价保留至元，元后四舍五入。</w:t>
            </w:r>
          </w:p>
        </w:tc>
      </w:tr>
      <w:tr w14:paraId="6CA7D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400" w:type="dxa"/>
            <w:vAlign w:val="center"/>
          </w:tcPr>
          <w:p w14:paraId="5053A280">
            <w:pPr>
              <w:spacing w:before="30" w:after="30" w:line="240" w:lineRule="auto"/>
              <w:jc w:val="both"/>
            </w:pPr>
            <w:r>
              <w:rPr>
                <w:rFonts w:hint="eastAsia"/>
                <w:lang w:eastAsia="zh-CN"/>
              </w:rPr>
              <w:t>响应</w:t>
            </w:r>
            <w:r>
              <w:rPr>
                <w:rFonts w:hint="eastAsia"/>
              </w:rPr>
              <w:t>报价得分计算</w:t>
            </w:r>
          </w:p>
        </w:tc>
        <w:tc>
          <w:tcPr>
            <w:tcW w:w="5900" w:type="dxa"/>
            <w:vAlign w:val="center"/>
          </w:tcPr>
          <w:p w14:paraId="5E43A18C">
            <w:pPr>
              <w:spacing w:before="30" w:after="30" w:line="240" w:lineRule="auto"/>
              <w:jc w:val="both"/>
            </w:pPr>
            <w:r>
              <w:rPr>
                <w:rFonts w:hint="eastAsia"/>
              </w:rPr>
              <w:t>有效</w:t>
            </w:r>
            <w:r>
              <w:rPr>
                <w:rFonts w:hint="eastAsia"/>
                <w:lang w:eastAsia="zh-CN"/>
              </w:rPr>
              <w:t>参选人</w:t>
            </w:r>
            <w:r>
              <w:rPr>
                <w:rFonts w:hint="eastAsia"/>
              </w:rPr>
              <w:t>的报价等于评审基准价时其报价分为满分60分；其他</w:t>
            </w:r>
            <w:r>
              <w:rPr>
                <w:rFonts w:hint="eastAsia"/>
                <w:lang w:eastAsia="zh-CN"/>
              </w:rPr>
              <w:t>参选人</w:t>
            </w:r>
            <w:r>
              <w:rPr>
                <w:rFonts w:hint="eastAsia"/>
              </w:rPr>
              <w:t>的价格分按以下公式计算：报价得分=（评分基准价/</w:t>
            </w:r>
            <w:r>
              <w:rPr>
                <w:rFonts w:hint="eastAsia"/>
                <w:lang w:eastAsia="zh-CN"/>
              </w:rPr>
              <w:t>参选人</w:t>
            </w:r>
            <w:r>
              <w:rPr>
                <w:rFonts w:hint="eastAsia"/>
              </w:rPr>
              <w:t>报价）×价格权值×100（保留小数2位）。</w:t>
            </w:r>
          </w:p>
        </w:tc>
      </w:tr>
      <w:tr w14:paraId="1BA5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400" w:type="dxa"/>
            <w:vAlign w:val="center"/>
          </w:tcPr>
          <w:p w14:paraId="787C8552">
            <w:pPr>
              <w:spacing w:before="30" w:after="30" w:line="240" w:lineRule="auto"/>
              <w:jc w:val="both"/>
            </w:pPr>
            <w:r>
              <w:rPr>
                <w:rFonts w:hint="eastAsia"/>
              </w:rPr>
              <w:t>综合得分</w:t>
            </w:r>
          </w:p>
        </w:tc>
        <w:tc>
          <w:tcPr>
            <w:tcW w:w="5900" w:type="dxa"/>
            <w:vAlign w:val="center"/>
          </w:tcPr>
          <w:p w14:paraId="244E9482">
            <w:pPr>
              <w:spacing w:before="30" w:after="30" w:line="240" w:lineRule="auto"/>
              <w:jc w:val="both"/>
            </w:pPr>
            <w:r>
              <w:rPr>
                <w:rFonts w:hint="eastAsia"/>
              </w:rPr>
              <w:t>有效</w:t>
            </w:r>
            <w:r>
              <w:rPr>
                <w:rFonts w:hint="eastAsia"/>
                <w:lang w:eastAsia="zh-CN"/>
              </w:rPr>
              <w:t>参选人</w:t>
            </w:r>
            <w:r>
              <w:rPr>
                <w:rFonts w:hint="eastAsia"/>
              </w:rPr>
              <w:t>的综合得分为技术分和商务（报价）分的总和。</w:t>
            </w:r>
          </w:p>
        </w:tc>
      </w:tr>
    </w:tbl>
    <w:p w14:paraId="39BCA8C9">
      <w:pPr>
        <w:spacing w:before="0" w:after="0" w:line="360" w:lineRule="auto"/>
        <w:jc w:val="both"/>
      </w:pPr>
      <w:r>
        <w:rPr>
          <w:rFonts w:hint="eastAsia"/>
        </w:rPr>
        <w:t>说明：</w:t>
      </w:r>
      <w:r>
        <w:rPr>
          <w:rFonts w:hint="eastAsia"/>
          <w:lang w:eastAsia="zh-CN"/>
        </w:rPr>
        <w:t>响应</w:t>
      </w:r>
      <w:r>
        <w:rPr>
          <w:rFonts w:hint="eastAsia"/>
        </w:rPr>
        <w:t>报价超过项目预算（58000.00元）的，作无效报价处理。</w:t>
      </w:r>
    </w:p>
    <w:p w14:paraId="3C87BD84">
      <w:pPr>
        <w:keepNext/>
        <w:keepLines/>
        <w:pageBreakBefore w:val="0"/>
        <w:widowControl/>
        <w:kinsoku/>
        <w:wordWrap/>
        <w:overflowPunct/>
        <w:topLinePunct w:val="0"/>
        <w:autoSpaceDE/>
        <w:autoSpaceDN/>
        <w:bidi w:val="0"/>
        <w:adjustRightInd/>
        <w:snapToGrid/>
        <w:spacing w:before="0" w:beforeAutospacing="0" w:after="0" w:afterAutospacing="0"/>
        <w:jc w:val="both"/>
        <w:textAlignment w:val="auto"/>
        <w:outlineLvl w:val="2"/>
        <w:rPr>
          <w:sz w:val="32"/>
          <w:szCs w:val="32"/>
        </w:rPr>
      </w:pPr>
      <w:r>
        <w:rPr>
          <w:rFonts w:hint="eastAsia"/>
          <w:b/>
          <w:sz w:val="32"/>
          <w:lang w:val="en-US" w:eastAsia="zh-CN"/>
        </w:rPr>
        <w:t>6</w:t>
      </w:r>
      <w:r>
        <w:rPr>
          <w:rFonts w:hint="eastAsia"/>
          <w:b/>
          <w:sz w:val="32"/>
        </w:rPr>
        <w:t>、</w:t>
      </w:r>
      <w:r>
        <w:rPr>
          <w:rFonts w:hint="eastAsia"/>
          <w:b/>
          <w:sz w:val="32"/>
          <w:lang w:eastAsia="zh-CN"/>
        </w:rPr>
        <w:t>响应</w:t>
      </w:r>
      <w:r>
        <w:rPr>
          <w:rFonts w:hint="eastAsia"/>
          <w:b/>
          <w:sz w:val="32"/>
        </w:rPr>
        <w:t>文件组成及编制要求</w:t>
      </w:r>
    </w:p>
    <w:p w14:paraId="690C79F3">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pPr>
      <w:r>
        <w:rPr>
          <w:rFonts w:hint="eastAsia"/>
          <w:lang w:val="en-US" w:eastAsia="zh-CN"/>
        </w:rPr>
        <w:t>6</w:t>
      </w:r>
      <w:r>
        <w:rPr>
          <w:rFonts w:hint="eastAsia"/>
        </w:rPr>
        <w:t xml:space="preserve">.1 </w:t>
      </w:r>
      <w:r>
        <w:rPr>
          <w:rFonts w:hint="eastAsia"/>
          <w:lang w:eastAsia="zh-CN"/>
        </w:rPr>
        <w:t>响应</w:t>
      </w:r>
      <w:r>
        <w:rPr>
          <w:rFonts w:hint="eastAsia"/>
        </w:rPr>
        <w:t>文件分为技术标和商务标两部分，分别装订成册。</w:t>
      </w:r>
    </w:p>
    <w:p w14:paraId="16A6E885">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pPr>
      <w:r>
        <w:rPr>
          <w:rFonts w:hint="eastAsia"/>
          <w:lang w:val="en-US" w:eastAsia="zh-CN"/>
        </w:rPr>
        <w:t>6</w:t>
      </w:r>
      <w:r>
        <w:rPr>
          <w:rFonts w:hint="eastAsia"/>
        </w:rPr>
        <w:t>.2 技术标应包括：营业执照及资质证书复印件、类似项目业绩证明（合同复印件并加盖公章）、项目实施方案（含难点重点分析、施工流程与人员分工、安全文明施工措施）、售后服务承诺、拟投入人员及设备情况等。</w:t>
      </w:r>
    </w:p>
    <w:p w14:paraId="0811C5F1">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pPr>
      <w:r>
        <w:rPr>
          <w:rFonts w:hint="eastAsia"/>
          <w:lang w:val="en-US" w:eastAsia="zh-CN"/>
        </w:rPr>
        <w:t>6</w:t>
      </w:r>
      <w:r>
        <w:rPr>
          <w:rFonts w:hint="eastAsia"/>
        </w:rPr>
        <w:t>.3 商务标应包括：</w:t>
      </w:r>
      <w:r>
        <w:rPr>
          <w:rFonts w:hint="eastAsia"/>
          <w:lang w:eastAsia="zh-CN"/>
        </w:rPr>
        <w:t>响应</w:t>
      </w:r>
      <w:r>
        <w:rPr>
          <w:rFonts w:hint="eastAsia"/>
        </w:rPr>
        <w:t>函、开标一览表（报价表）、法定代表人身份证明或授权委托书等。</w:t>
      </w:r>
    </w:p>
    <w:p w14:paraId="0BC68936">
      <w:pPr>
        <w:keepNext w:val="0"/>
        <w:keepLines w:val="0"/>
        <w:pageBreakBefore w:val="0"/>
        <w:widowControl/>
        <w:kinsoku/>
        <w:wordWrap/>
        <w:overflowPunct/>
        <w:topLinePunct w:val="0"/>
        <w:autoSpaceDE/>
        <w:autoSpaceDN/>
        <w:bidi w:val="0"/>
        <w:adjustRightInd/>
        <w:snapToGrid/>
        <w:spacing w:before="0" w:after="0" w:line="360" w:lineRule="auto"/>
        <w:ind w:firstLine="480" w:firstLineChars="200"/>
        <w:jc w:val="both"/>
        <w:textAlignment w:val="auto"/>
        <w:rPr>
          <w:rFonts w:hint="eastAsia"/>
        </w:rPr>
      </w:pPr>
      <w:r>
        <w:rPr>
          <w:rFonts w:hint="eastAsia"/>
          <w:lang w:val="en-US" w:eastAsia="zh-CN"/>
        </w:rPr>
        <w:t>6</w:t>
      </w:r>
      <w:r>
        <w:rPr>
          <w:rFonts w:hint="eastAsia"/>
        </w:rPr>
        <w:t xml:space="preserve">.4 </w:t>
      </w:r>
      <w:r>
        <w:rPr>
          <w:rFonts w:hint="eastAsia"/>
          <w:lang w:eastAsia="zh-CN"/>
        </w:rPr>
        <w:t>响应</w:t>
      </w:r>
      <w:r>
        <w:rPr>
          <w:rFonts w:hint="eastAsia"/>
        </w:rPr>
        <w:t>文件须加盖单位公章并由法定代表人或其授权代表签署；</w:t>
      </w:r>
      <w:r>
        <w:rPr>
          <w:rFonts w:hint="eastAsia"/>
          <w:lang w:eastAsia="zh-CN"/>
        </w:rPr>
        <w:t>响应</w:t>
      </w:r>
      <w:r>
        <w:rPr>
          <w:rFonts w:hint="eastAsia"/>
        </w:rPr>
        <w:t>报价须唯一，出现两个及以上报价且未声明何者有效的，作无效</w:t>
      </w:r>
      <w:r>
        <w:rPr>
          <w:rFonts w:hint="eastAsia"/>
          <w:lang w:eastAsia="zh-CN"/>
        </w:rPr>
        <w:t>响应</w:t>
      </w:r>
      <w:r>
        <w:rPr>
          <w:rFonts w:hint="eastAsia"/>
        </w:rPr>
        <w:t>处理。</w:t>
      </w:r>
      <w:r>
        <w:rPr>
          <w:rFonts w:hint="eastAsia"/>
        </w:rPr>
        <w:br w:type="page"/>
      </w:r>
    </w:p>
    <w:p w14:paraId="5DC251B2">
      <w:pPr>
        <w:spacing w:before="0" w:after="0" w:line="360" w:lineRule="auto"/>
        <w:jc w:val="both"/>
        <w:rPr>
          <w:rFonts w:hint="eastAsia"/>
        </w:rPr>
      </w:pPr>
    </w:p>
    <w:p w14:paraId="3D8F6E8A">
      <w:pPr>
        <w:tabs>
          <w:tab w:val="left" w:pos="774"/>
        </w:tabs>
        <w:autoSpaceDE w:val="0"/>
        <w:autoSpaceDN w:val="0"/>
        <w:spacing w:before="240" w:line="276" w:lineRule="auto"/>
        <w:ind w:left="774" w:hanging="576"/>
        <w:jc w:val="center"/>
        <w:outlineLvl w:val="2"/>
        <w:rPr>
          <w:rFonts w:hint="eastAsia" w:ascii="宋体" w:hAnsi="宋体" w:cs="宋体"/>
          <w:b/>
          <w:sz w:val="28"/>
          <w:szCs w:val="28"/>
          <w:lang w:val="zh-CN"/>
        </w:rPr>
      </w:pPr>
      <w:r>
        <w:rPr>
          <w:rFonts w:hint="eastAsia" w:ascii="宋体" w:hAnsi="宋体" w:cs="宋体"/>
          <w:b/>
          <w:sz w:val="28"/>
          <w:szCs w:val="28"/>
          <w:lang w:val="zh-CN"/>
        </w:rPr>
        <w:t>报价一览表（</w:t>
      </w:r>
      <w:r>
        <w:rPr>
          <w:rFonts w:hint="eastAsia" w:ascii="宋体" w:hAnsi="宋体" w:cs="宋体"/>
          <w:b/>
          <w:sz w:val="28"/>
          <w:szCs w:val="28"/>
          <w:lang w:val="en-US" w:eastAsia="zh-CN"/>
        </w:rPr>
        <w:t>报价表</w:t>
      </w:r>
      <w:r>
        <w:rPr>
          <w:rFonts w:hint="eastAsia" w:ascii="宋体" w:hAnsi="宋体" w:cs="宋体"/>
          <w:b/>
          <w:sz w:val="28"/>
          <w:szCs w:val="28"/>
          <w:lang w:val="zh-CN"/>
        </w:rPr>
        <w:t>）</w:t>
      </w:r>
    </w:p>
    <w:p w14:paraId="5D84691C">
      <w:pPr>
        <w:spacing w:line="360" w:lineRule="auto"/>
        <w:rPr>
          <w:rFonts w:hint="eastAsia" w:ascii="宋体" w:hAnsi="宋体" w:cs="宋体"/>
          <w:sz w:val="22"/>
          <w:szCs w:val="18"/>
        </w:rPr>
      </w:pPr>
      <w:r>
        <w:rPr>
          <w:rFonts w:hint="eastAsia" w:ascii="宋体" w:hAnsi="宋体" w:cs="宋体"/>
          <w:sz w:val="24"/>
        </w:rPr>
        <w:t xml:space="preserve">项目名称：温州市中医院六虹桥院区ICU中央空调系统1号机组蒸发器故障更换     </w:t>
      </w:r>
      <w:r>
        <w:rPr>
          <w:rFonts w:hint="eastAsia" w:ascii="宋体" w:hAnsi="宋体" w:cs="宋体"/>
          <w:sz w:val="22"/>
          <w:szCs w:val="18"/>
        </w:rPr>
        <w:t xml:space="preserve">                      </w:t>
      </w:r>
    </w:p>
    <w:tbl>
      <w:tblPr>
        <w:tblStyle w:val="7"/>
        <w:tblW w:w="9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8"/>
        <w:gridCol w:w="3510"/>
        <w:gridCol w:w="3195"/>
        <w:gridCol w:w="1253"/>
      </w:tblGrid>
      <w:tr w14:paraId="3AE6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478" w:type="dxa"/>
            <w:noWrap w:val="0"/>
            <w:vAlign w:val="center"/>
          </w:tcPr>
          <w:p w14:paraId="661858A9">
            <w:pPr>
              <w:keepNext w:val="0"/>
              <w:keepLines w:val="0"/>
              <w:suppressLineNumbers w:val="0"/>
              <w:spacing w:before="0" w:beforeAutospacing="0" w:after="0" w:afterAutospacing="0" w:line="380" w:lineRule="exact"/>
              <w:ind w:left="0" w:right="0"/>
              <w:jc w:val="center"/>
              <w:rPr>
                <w:rFonts w:hint="eastAsia" w:ascii="宋体" w:hAnsi="宋体" w:cs="宋体"/>
                <w:sz w:val="22"/>
                <w:szCs w:val="20"/>
              </w:rPr>
            </w:pPr>
            <w:r>
              <w:rPr>
                <w:rFonts w:hint="eastAsia" w:ascii="宋体" w:hAnsi="宋体" w:cs="宋体"/>
                <w:sz w:val="22"/>
                <w:szCs w:val="20"/>
              </w:rPr>
              <w:t>序号</w:t>
            </w:r>
          </w:p>
        </w:tc>
        <w:tc>
          <w:tcPr>
            <w:tcW w:w="3510" w:type="dxa"/>
            <w:noWrap w:val="0"/>
            <w:vAlign w:val="center"/>
          </w:tcPr>
          <w:p w14:paraId="19D7C6C3">
            <w:pPr>
              <w:keepNext w:val="0"/>
              <w:keepLines w:val="0"/>
              <w:suppressLineNumbers w:val="0"/>
              <w:spacing w:before="0" w:beforeAutospacing="0" w:after="0" w:afterAutospacing="0" w:line="380" w:lineRule="exact"/>
              <w:ind w:left="0" w:right="0"/>
              <w:jc w:val="center"/>
              <w:rPr>
                <w:rFonts w:hint="eastAsia" w:ascii="宋体" w:hAnsi="宋体" w:cs="宋体"/>
                <w:sz w:val="22"/>
                <w:szCs w:val="20"/>
              </w:rPr>
            </w:pPr>
            <w:r>
              <w:rPr>
                <w:rFonts w:hint="eastAsia" w:ascii="宋体" w:hAnsi="宋体" w:cs="宋体"/>
                <w:bCs/>
                <w:sz w:val="22"/>
                <w:szCs w:val="22"/>
              </w:rPr>
              <w:t>项目名称</w:t>
            </w:r>
          </w:p>
        </w:tc>
        <w:tc>
          <w:tcPr>
            <w:tcW w:w="3195" w:type="dxa"/>
            <w:noWrap w:val="0"/>
            <w:vAlign w:val="center"/>
          </w:tcPr>
          <w:p w14:paraId="4A0D607A">
            <w:pPr>
              <w:keepNext w:val="0"/>
              <w:keepLines w:val="0"/>
              <w:suppressLineNumbers w:val="0"/>
              <w:spacing w:before="0" w:beforeAutospacing="0" w:after="0" w:afterAutospacing="0" w:line="380" w:lineRule="exact"/>
              <w:ind w:left="0" w:right="0"/>
              <w:jc w:val="center"/>
              <w:rPr>
                <w:rFonts w:hint="eastAsia" w:ascii="宋体" w:hAnsi="宋体" w:cs="宋体"/>
                <w:sz w:val="22"/>
                <w:szCs w:val="20"/>
              </w:rPr>
            </w:pPr>
            <w:r>
              <w:rPr>
                <w:rFonts w:hint="eastAsia" w:ascii="宋体" w:hAnsi="宋体" w:cs="宋体"/>
                <w:bCs/>
                <w:sz w:val="22"/>
                <w:szCs w:val="22"/>
              </w:rPr>
              <w:t>报价（人民币元）</w:t>
            </w:r>
          </w:p>
        </w:tc>
        <w:tc>
          <w:tcPr>
            <w:tcW w:w="1253" w:type="dxa"/>
            <w:noWrap w:val="0"/>
            <w:vAlign w:val="center"/>
          </w:tcPr>
          <w:p w14:paraId="410133D1">
            <w:pPr>
              <w:keepNext w:val="0"/>
              <w:keepLines w:val="0"/>
              <w:suppressLineNumbers w:val="0"/>
              <w:spacing w:before="0" w:beforeAutospacing="0" w:after="0" w:afterAutospacing="0" w:line="380" w:lineRule="exact"/>
              <w:ind w:left="0" w:right="0"/>
              <w:jc w:val="center"/>
              <w:rPr>
                <w:rFonts w:hint="eastAsia" w:ascii="宋体" w:hAnsi="宋体" w:cs="宋体"/>
                <w:sz w:val="22"/>
                <w:szCs w:val="20"/>
              </w:rPr>
            </w:pPr>
            <w:r>
              <w:rPr>
                <w:rFonts w:hint="eastAsia" w:ascii="宋体" w:hAnsi="宋体" w:cs="宋体"/>
                <w:sz w:val="22"/>
                <w:szCs w:val="20"/>
              </w:rPr>
              <w:t>备注</w:t>
            </w:r>
          </w:p>
        </w:tc>
      </w:tr>
      <w:tr w14:paraId="5DB8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478" w:type="dxa"/>
            <w:vMerge w:val="restart"/>
            <w:noWrap w:val="0"/>
            <w:vAlign w:val="center"/>
          </w:tcPr>
          <w:p w14:paraId="3A66A19B">
            <w:pPr>
              <w:keepNext w:val="0"/>
              <w:keepLines w:val="0"/>
              <w:suppressLineNumbers w:val="0"/>
              <w:spacing w:before="0" w:beforeAutospacing="0" w:after="0" w:afterAutospacing="0" w:line="380" w:lineRule="exact"/>
              <w:ind w:left="0" w:right="0"/>
              <w:jc w:val="center"/>
              <w:rPr>
                <w:rFonts w:hint="eastAsia" w:ascii="宋体" w:hAnsi="宋体" w:cs="宋体"/>
                <w:sz w:val="22"/>
                <w:szCs w:val="20"/>
              </w:rPr>
            </w:pPr>
            <w:r>
              <w:rPr>
                <w:rFonts w:hint="eastAsia" w:ascii="宋体" w:hAnsi="宋体" w:cs="宋体"/>
                <w:sz w:val="22"/>
                <w:szCs w:val="20"/>
              </w:rPr>
              <w:t>1</w:t>
            </w:r>
          </w:p>
        </w:tc>
        <w:tc>
          <w:tcPr>
            <w:tcW w:w="3510" w:type="dxa"/>
            <w:vMerge w:val="restart"/>
            <w:noWrap w:val="0"/>
            <w:vAlign w:val="center"/>
          </w:tcPr>
          <w:p w14:paraId="7CA4F6BE">
            <w:pPr>
              <w:keepNext w:val="0"/>
              <w:keepLines w:val="0"/>
              <w:suppressLineNumbers w:val="0"/>
              <w:spacing w:before="0" w:beforeAutospacing="0" w:after="0" w:afterAutospacing="0" w:line="380" w:lineRule="exact"/>
              <w:ind w:left="0" w:right="0"/>
              <w:jc w:val="center"/>
              <w:rPr>
                <w:rFonts w:hint="eastAsia" w:ascii="宋体" w:hAnsi="宋体" w:cs="宋体"/>
                <w:sz w:val="22"/>
                <w:szCs w:val="20"/>
              </w:rPr>
            </w:pPr>
            <w:r>
              <w:rPr>
                <w:rFonts w:hint="eastAsia" w:ascii="宋体" w:hAnsi="宋体" w:cs="宋体"/>
                <w:sz w:val="24"/>
              </w:rPr>
              <w:t xml:space="preserve">温州市中医院六虹桥院区ICU中央空调系统1号机组蒸发器故障更换     </w:t>
            </w:r>
          </w:p>
        </w:tc>
        <w:tc>
          <w:tcPr>
            <w:tcW w:w="3195" w:type="dxa"/>
            <w:noWrap w:val="0"/>
            <w:vAlign w:val="center"/>
          </w:tcPr>
          <w:p w14:paraId="70745EF2">
            <w:pPr>
              <w:keepNext w:val="0"/>
              <w:keepLines w:val="0"/>
              <w:suppressLineNumbers w:val="0"/>
              <w:spacing w:before="0" w:beforeAutospacing="0" w:after="0" w:afterAutospacing="0" w:line="380" w:lineRule="exact"/>
              <w:ind w:left="0" w:right="0"/>
              <w:rPr>
                <w:rFonts w:hint="eastAsia" w:ascii="宋体" w:hAnsi="宋体" w:cs="宋体"/>
                <w:sz w:val="22"/>
                <w:szCs w:val="20"/>
              </w:rPr>
            </w:pPr>
            <w:r>
              <w:rPr>
                <w:rFonts w:hint="eastAsia" w:ascii="宋体" w:hAnsi="宋体" w:cs="宋体"/>
                <w:sz w:val="22"/>
                <w:szCs w:val="20"/>
              </w:rPr>
              <w:t>大写：</w:t>
            </w:r>
          </w:p>
        </w:tc>
        <w:tc>
          <w:tcPr>
            <w:tcW w:w="1253" w:type="dxa"/>
            <w:vMerge w:val="restart"/>
            <w:noWrap w:val="0"/>
            <w:vAlign w:val="center"/>
          </w:tcPr>
          <w:p w14:paraId="3CE8B37E">
            <w:pPr>
              <w:keepNext w:val="0"/>
              <w:keepLines w:val="0"/>
              <w:suppressLineNumbers w:val="0"/>
              <w:spacing w:before="0" w:beforeAutospacing="0" w:after="0" w:afterAutospacing="0" w:line="380" w:lineRule="exact"/>
              <w:ind w:left="0" w:right="0"/>
              <w:jc w:val="center"/>
              <w:rPr>
                <w:rFonts w:hint="eastAsia" w:ascii="宋体" w:hAnsi="宋体" w:cs="宋体"/>
                <w:sz w:val="22"/>
                <w:szCs w:val="20"/>
              </w:rPr>
            </w:pPr>
          </w:p>
        </w:tc>
      </w:tr>
      <w:tr w14:paraId="3A846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jc w:val="center"/>
        </w:trPr>
        <w:tc>
          <w:tcPr>
            <w:tcW w:w="1478" w:type="dxa"/>
            <w:vMerge w:val="continue"/>
            <w:noWrap w:val="0"/>
            <w:vAlign w:val="center"/>
          </w:tcPr>
          <w:p w14:paraId="03DE4BDF">
            <w:pPr>
              <w:keepNext w:val="0"/>
              <w:keepLines w:val="0"/>
              <w:suppressLineNumbers w:val="0"/>
              <w:spacing w:before="0" w:beforeAutospacing="0" w:after="0" w:afterAutospacing="0" w:line="380" w:lineRule="exact"/>
              <w:ind w:left="0" w:right="0"/>
              <w:jc w:val="center"/>
              <w:rPr>
                <w:rFonts w:hint="eastAsia" w:ascii="宋体" w:hAnsi="宋体" w:cs="宋体"/>
                <w:sz w:val="22"/>
                <w:szCs w:val="20"/>
              </w:rPr>
            </w:pPr>
          </w:p>
        </w:tc>
        <w:tc>
          <w:tcPr>
            <w:tcW w:w="3510" w:type="dxa"/>
            <w:vMerge w:val="continue"/>
            <w:noWrap w:val="0"/>
            <w:vAlign w:val="center"/>
          </w:tcPr>
          <w:p w14:paraId="09190C1F">
            <w:pPr>
              <w:keepNext w:val="0"/>
              <w:keepLines w:val="0"/>
              <w:suppressLineNumbers w:val="0"/>
              <w:spacing w:before="0" w:beforeAutospacing="0" w:after="0" w:afterAutospacing="0" w:line="380" w:lineRule="exact"/>
              <w:ind w:left="0" w:right="0"/>
              <w:jc w:val="center"/>
              <w:rPr>
                <w:rFonts w:hint="eastAsia" w:ascii="宋体" w:hAnsi="宋体" w:cs="宋体"/>
                <w:sz w:val="22"/>
                <w:szCs w:val="20"/>
              </w:rPr>
            </w:pPr>
          </w:p>
        </w:tc>
        <w:tc>
          <w:tcPr>
            <w:tcW w:w="3195" w:type="dxa"/>
            <w:noWrap w:val="0"/>
            <w:vAlign w:val="center"/>
          </w:tcPr>
          <w:p w14:paraId="4BC0C2FF">
            <w:pPr>
              <w:keepNext w:val="0"/>
              <w:keepLines w:val="0"/>
              <w:suppressLineNumbers w:val="0"/>
              <w:spacing w:before="0" w:beforeAutospacing="0" w:after="0" w:afterAutospacing="0" w:line="380" w:lineRule="exact"/>
              <w:ind w:left="0" w:right="0"/>
              <w:rPr>
                <w:rFonts w:hint="eastAsia" w:ascii="宋体" w:hAnsi="宋体" w:cs="宋体"/>
                <w:sz w:val="22"/>
                <w:szCs w:val="20"/>
              </w:rPr>
            </w:pPr>
            <w:r>
              <w:rPr>
                <w:rFonts w:hint="eastAsia" w:ascii="宋体" w:hAnsi="宋体" w:cs="宋体"/>
                <w:sz w:val="22"/>
                <w:szCs w:val="20"/>
              </w:rPr>
              <w:t>小写：</w:t>
            </w:r>
          </w:p>
        </w:tc>
        <w:tc>
          <w:tcPr>
            <w:tcW w:w="1253" w:type="dxa"/>
            <w:vMerge w:val="continue"/>
            <w:noWrap w:val="0"/>
            <w:vAlign w:val="center"/>
          </w:tcPr>
          <w:p w14:paraId="0FF05FC4">
            <w:pPr>
              <w:keepNext w:val="0"/>
              <w:keepLines w:val="0"/>
              <w:suppressLineNumbers w:val="0"/>
              <w:spacing w:before="0" w:beforeAutospacing="0" w:after="0" w:afterAutospacing="0" w:line="380" w:lineRule="exact"/>
              <w:ind w:left="0" w:right="0"/>
              <w:jc w:val="center"/>
              <w:rPr>
                <w:rFonts w:hint="eastAsia" w:ascii="宋体" w:hAnsi="宋体" w:cs="宋体"/>
                <w:sz w:val="22"/>
                <w:szCs w:val="20"/>
              </w:rPr>
            </w:pPr>
          </w:p>
        </w:tc>
      </w:tr>
    </w:tbl>
    <w:p w14:paraId="20AAF1C0">
      <w:pPr>
        <w:spacing w:line="450" w:lineRule="exact"/>
        <w:ind w:firstLine="541" w:firstLineChars="245"/>
        <w:rPr>
          <w:rFonts w:hint="eastAsia" w:ascii="宋体" w:hAnsi="宋体" w:cs="宋体"/>
          <w:b/>
          <w:sz w:val="22"/>
        </w:rPr>
      </w:pPr>
    </w:p>
    <w:p w14:paraId="76BBE7EA">
      <w:pPr>
        <w:rPr>
          <w:rFonts w:hint="eastAsia" w:ascii="宋体" w:hAnsi="宋体" w:cs="宋体"/>
          <w:b/>
          <w:sz w:val="22"/>
        </w:rPr>
      </w:pPr>
      <w:r>
        <w:rPr>
          <w:rFonts w:hint="eastAsia" w:ascii="宋体" w:hAnsi="宋体" w:cs="宋体"/>
          <w:b/>
          <w:sz w:val="22"/>
        </w:rPr>
        <w:t>说明：</w:t>
      </w:r>
    </w:p>
    <w:p w14:paraId="1E0E2223">
      <w:pPr>
        <w:pStyle w:val="5"/>
        <w:keepNext w:val="0"/>
        <w:keepLines w:val="0"/>
        <w:pageBreakBefore w:val="0"/>
        <w:widowControl/>
        <w:suppressLineNumbers w:val="0"/>
        <w:kinsoku/>
        <w:wordWrap/>
        <w:overflowPunct/>
        <w:topLinePunct w:val="0"/>
        <w:autoSpaceDE/>
        <w:autoSpaceDN/>
        <w:bidi w:val="0"/>
        <w:adjustRightInd/>
        <w:snapToGrid/>
        <w:spacing w:before="40" w:beforeAutospacing="0" w:after="40" w:afterAutospacing="0" w:line="360" w:lineRule="auto"/>
        <w:ind w:left="0" w:right="0" w:firstLine="442" w:firstLineChars="200"/>
        <w:jc w:val="left"/>
        <w:textAlignment w:val="auto"/>
        <w:rPr>
          <w:rFonts w:hint="eastAsia" w:ascii="宋体" w:hAnsi="宋体" w:eastAsia="宋体" w:cs="宋体"/>
          <w:b/>
          <w:sz w:val="22"/>
          <w:szCs w:val="24"/>
          <w:lang w:eastAsia="zh-CN"/>
        </w:rPr>
      </w:pPr>
      <w:r>
        <w:rPr>
          <w:rFonts w:hint="eastAsia" w:ascii="宋体" w:hAnsi="宋体" w:eastAsia="宋体" w:cs="宋体"/>
          <w:b/>
          <w:sz w:val="22"/>
          <w:szCs w:val="24"/>
          <w:lang w:eastAsia="zh-CN"/>
        </w:rPr>
        <w:t>1、已包含完成本项目所需的全部设备、材料、人工、机械、运输、吊装、拆装、调试、检测、税费及项目实施期间可能发生的其他费用。”</w:t>
      </w:r>
    </w:p>
    <w:p w14:paraId="09138D60">
      <w:pPr>
        <w:keepNext w:val="0"/>
        <w:keepLines w:val="0"/>
        <w:pageBreakBefore w:val="0"/>
        <w:widowControl/>
        <w:kinsoku/>
        <w:wordWrap/>
        <w:overflowPunct/>
        <w:topLinePunct w:val="0"/>
        <w:autoSpaceDE/>
        <w:autoSpaceDN/>
        <w:bidi w:val="0"/>
        <w:adjustRightInd/>
        <w:snapToGrid/>
        <w:spacing w:line="360" w:lineRule="auto"/>
        <w:ind w:firstLine="442" w:firstLineChars="200"/>
        <w:textAlignment w:val="auto"/>
        <w:rPr>
          <w:rFonts w:hint="eastAsia" w:ascii="宋体" w:hAnsi="宋体" w:cs="宋体"/>
          <w:b/>
          <w:sz w:val="22"/>
        </w:rPr>
      </w:pPr>
      <w:r>
        <w:rPr>
          <w:rFonts w:hint="eastAsia" w:ascii="宋体" w:hAnsi="宋体" w:eastAsia="宋体" w:cs="宋体"/>
          <w:b/>
          <w:sz w:val="22"/>
          <w:szCs w:val="24"/>
          <w:lang w:eastAsia="zh-CN"/>
        </w:rPr>
        <w:t>2、响应总价应包括本项目整个服务期所需的一切设备、材料、人工、工具、设备、保险、交通、利润、税金（包含须由参选人承担的各种税费）、其它需参选人承担的费用及潜在可能涉</w:t>
      </w:r>
      <w:r>
        <w:rPr>
          <w:rFonts w:hint="eastAsia" w:ascii="宋体" w:hAnsi="宋体" w:cs="宋体"/>
          <w:b/>
          <w:sz w:val="22"/>
        </w:rPr>
        <w:t>及的一切费用。</w:t>
      </w:r>
      <w:r>
        <w:rPr>
          <w:rFonts w:hint="eastAsia" w:ascii="宋体" w:hAnsi="宋体" w:cs="宋体"/>
          <w:b/>
          <w:sz w:val="22"/>
          <w:lang w:eastAsia="zh-CN"/>
        </w:rPr>
        <w:t>参选人</w:t>
      </w:r>
      <w:r>
        <w:rPr>
          <w:rFonts w:hint="eastAsia" w:ascii="宋体" w:hAnsi="宋体" w:cs="宋体"/>
          <w:b/>
          <w:sz w:val="22"/>
        </w:rPr>
        <w:t>应认真计算可能发生的各相关费用并计入</w:t>
      </w:r>
      <w:r>
        <w:rPr>
          <w:rFonts w:hint="eastAsia" w:ascii="宋体" w:hAnsi="宋体" w:cs="宋体"/>
          <w:b/>
          <w:sz w:val="22"/>
          <w:lang w:eastAsia="zh-CN"/>
        </w:rPr>
        <w:t>响应</w:t>
      </w:r>
      <w:r>
        <w:rPr>
          <w:rFonts w:hint="eastAsia" w:ascii="宋体" w:hAnsi="宋体" w:cs="宋体"/>
          <w:b/>
          <w:sz w:val="22"/>
        </w:rPr>
        <w:t>报价内，在项目实施过程中不得藉此要求增加任何费用。如上述没有提及但该项目仍需要的内容，请</w:t>
      </w:r>
      <w:r>
        <w:rPr>
          <w:rFonts w:hint="eastAsia" w:ascii="宋体" w:hAnsi="宋体" w:cs="宋体"/>
          <w:b/>
          <w:sz w:val="22"/>
          <w:lang w:eastAsia="zh-CN"/>
        </w:rPr>
        <w:t>参选人</w:t>
      </w:r>
      <w:r>
        <w:rPr>
          <w:rFonts w:hint="eastAsia" w:ascii="宋体" w:hAnsi="宋体" w:cs="宋体"/>
          <w:b/>
          <w:sz w:val="22"/>
        </w:rPr>
        <w:t>自行考虑一并计入</w:t>
      </w:r>
      <w:r>
        <w:rPr>
          <w:rFonts w:hint="eastAsia" w:ascii="宋体" w:hAnsi="宋体" w:cs="宋体"/>
          <w:b/>
          <w:sz w:val="22"/>
          <w:lang w:eastAsia="zh-CN"/>
        </w:rPr>
        <w:t>响应</w:t>
      </w:r>
      <w:r>
        <w:rPr>
          <w:rFonts w:hint="eastAsia" w:ascii="宋体" w:hAnsi="宋体" w:cs="宋体"/>
          <w:b/>
          <w:sz w:val="22"/>
        </w:rPr>
        <w:t>报价中（未计入的，视为</w:t>
      </w:r>
      <w:r>
        <w:rPr>
          <w:rFonts w:hint="eastAsia" w:ascii="宋体" w:hAnsi="宋体" w:cs="宋体"/>
          <w:b/>
          <w:sz w:val="22"/>
          <w:lang w:eastAsia="zh-CN"/>
        </w:rPr>
        <w:t>参选人</w:t>
      </w:r>
      <w:r>
        <w:rPr>
          <w:rFonts w:hint="eastAsia" w:ascii="宋体" w:hAnsi="宋体" w:cs="宋体"/>
          <w:b/>
          <w:sz w:val="22"/>
        </w:rPr>
        <w:t>的优惠）</w:t>
      </w:r>
    </w:p>
    <w:p w14:paraId="729A752D">
      <w:pPr>
        <w:ind w:firstLine="442" w:firstLineChars="200"/>
        <w:rPr>
          <w:rFonts w:hint="eastAsia" w:ascii="宋体" w:hAnsi="宋体" w:cs="宋体"/>
          <w:b/>
          <w:sz w:val="22"/>
        </w:rPr>
      </w:pPr>
      <w:r>
        <w:rPr>
          <w:rFonts w:hint="eastAsia" w:ascii="宋体" w:hAnsi="宋体" w:cs="宋体"/>
          <w:b/>
          <w:sz w:val="22"/>
        </w:rPr>
        <w:t>3、不提供此表格将被视为没有实质性响应文件。</w:t>
      </w:r>
    </w:p>
    <w:p w14:paraId="5C484674">
      <w:pPr>
        <w:ind w:firstLine="442" w:firstLineChars="200"/>
      </w:pPr>
      <w:r>
        <w:rPr>
          <w:rFonts w:hint="eastAsia" w:ascii="宋体" w:hAnsi="宋体" w:cs="宋体"/>
          <w:b/>
          <w:sz w:val="22"/>
        </w:rPr>
        <w:t>4、报价超过预算金额按无效标处理。</w:t>
      </w:r>
    </w:p>
    <w:p w14:paraId="3240BCB2">
      <w:pPr>
        <w:spacing w:line="460" w:lineRule="exact"/>
        <w:ind w:firstLine="4400" w:firstLineChars="2000"/>
        <w:rPr>
          <w:rFonts w:hint="eastAsia" w:ascii="宋体" w:hAnsi="宋体" w:cs="宋体"/>
          <w:sz w:val="22"/>
          <w:szCs w:val="22"/>
        </w:rPr>
      </w:pPr>
      <w:r>
        <w:rPr>
          <w:rFonts w:hint="eastAsia" w:ascii="宋体" w:hAnsi="宋体" w:cs="宋体"/>
          <w:sz w:val="22"/>
          <w:szCs w:val="22"/>
        </w:rPr>
        <w:t xml:space="preserve">       </w:t>
      </w:r>
    </w:p>
    <w:p w14:paraId="479C9273">
      <w:pPr>
        <w:jc w:val="both"/>
      </w:pPr>
    </w:p>
    <w:sectPr>
      <w:pgSz w:w="11906" w:h="16838"/>
      <w:pgMar w:top="1440" w:right="1700" w:bottom="1440" w:left="17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isplayHorizontalDrawingGridEvery w:val="1"/>
  <w:displayVerticalDrawingGridEvery w:val="1"/>
  <w:noPunctuationKerning w:val="1"/>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000000"/>
    <w:rsid w:val="00044431"/>
    <w:rsid w:val="00BE3B02"/>
    <w:rsid w:val="027C14DD"/>
    <w:rsid w:val="0BC02DC4"/>
    <w:rsid w:val="11D50CC6"/>
    <w:rsid w:val="1BF81957"/>
    <w:rsid w:val="1CDF0FCA"/>
    <w:rsid w:val="24094BFE"/>
    <w:rsid w:val="2B630D6A"/>
    <w:rsid w:val="31FD161E"/>
    <w:rsid w:val="347B2CCE"/>
    <w:rsid w:val="407A02DD"/>
    <w:rsid w:val="45493BAE"/>
    <w:rsid w:val="46396545"/>
    <w:rsid w:val="468258B9"/>
    <w:rsid w:val="492334DC"/>
    <w:rsid w:val="4A1452FF"/>
    <w:rsid w:val="4B6B53F2"/>
    <w:rsid w:val="4D2F58DC"/>
    <w:rsid w:val="52BE5942"/>
    <w:rsid w:val="534F7E5C"/>
    <w:rsid w:val="55104775"/>
    <w:rsid w:val="593F6BF5"/>
    <w:rsid w:val="5AC266B1"/>
    <w:rsid w:val="5D291F8F"/>
    <w:rsid w:val="644840CB"/>
    <w:rsid w:val="66383EBB"/>
    <w:rsid w:val="687306F3"/>
    <w:rsid w:val="6BF66B4A"/>
    <w:rsid w:val="72191279"/>
    <w:rsid w:val="7A7F3BD5"/>
    <w:rsid w:val="7DC12AFB"/>
    <w:rsid w:val="7DDA1DE0"/>
    <w:rsid w:val="7EDDFFF6"/>
    <w:rsid w:val="8FBC0FD6"/>
    <w:rsid w:val="ACFE1722"/>
    <w:rsid w:val="AF56E08F"/>
    <w:rsid w:val="ECEFFF88"/>
    <w:rsid w:val="FF6B03FD"/>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360" w:lineRule="auto"/>
    </w:pPr>
    <w:rPr>
      <w:rFonts w:ascii="Times New Roman" w:hAnsi="Times New Roman" w:eastAsia="宋体" w:cs="Times New Roman"/>
      <w:sz w:val="24"/>
      <w:szCs w:val="24"/>
    </w:rPr>
  </w:style>
  <w:style w:type="paragraph" w:styleId="2">
    <w:name w:val="heading 3"/>
    <w:basedOn w:val="1"/>
    <w:next w:val="3"/>
    <w:link w:val="10"/>
    <w:uiPriority w:val="0"/>
    <w:pPr>
      <w:keepNext/>
      <w:keepLines/>
      <w:widowControl w:val="0"/>
      <w:spacing w:before="260" w:after="260" w:line="415" w:lineRule="auto"/>
      <w:outlineLvl w:val="2"/>
    </w:pPr>
    <w:rPr>
      <w:b/>
      <w:sz w:val="32"/>
    </w:rPr>
  </w:style>
  <w:style w:type="character" w:default="1" w:styleId="8">
    <w:name w:val="Default Paragraph Font"/>
    <w:semiHidden/>
    <w:qFormat/>
    <w:uiPriority w:val="1"/>
  </w:style>
  <w:style w:type="table" w:default="1" w:styleId="7">
    <w:name w:val="Normal Table"/>
    <w:semiHidden/>
    <w:qFormat/>
    <w:uiPriority w:val="99"/>
    <w:tblPr>
      <w:tblCellMar>
        <w:top w:w="0" w:type="dxa"/>
        <w:left w:w="108" w:type="dxa"/>
        <w:bottom w:w="0" w:type="dxa"/>
        <w:right w:w="108" w:type="dxa"/>
      </w:tblCellMar>
    </w:tblPr>
  </w:style>
  <w:style w:type="paragraph" w:styleId="3">
    <w:name w:val="Normal Indent"/>
    <w:basedOn w:val="1"/>
    <w:qFormat/>
    <w:uiPriority w:val="0"/>
    <w:pPr>
      <w:adjustRightInd w:val="0"/>
      <w:spacing w:line="312" w:lineRule="atLeast"/>
      <w:ind w:firstLine="420"/>
      <w:textAlignment w:val="baseline"/>
    </w:pPr>
    <w:rPr>
      <w:kern w:val="0"/>
      <w:szCs w:val="20"/>
    </w:rPr>
  </w:style>
  <w:style w:type="paragraph" w:styleId="4">
    <w:name w:val="Body Text"/>
    <w:basedOn w:val="1"/>
    <w:next w:val="1"/>
    <w:qFormat/>
    <w:uiPriority w:val="0"/>
    <w:pPr>
      <w:spacing w:after="120"/>
    </w:pPr>
  </w:style>
  <w:style w:type="paragraph" w:styleId="5">
    <w:name w:val="Normal (Web)"/>
    <w:basedOn w:val="1"/>
    <w:qFormat/>
    <w:uiPriority w:val="0"/>
    <w:rPr>
      <w:sz w:val="24"/>
    </w:rPr>
  </w:style>
  <w:style w:type="paragraph" w:styleId="6">
    <w:name w:val="Body Text First Indent"/>
    <w:basedOn w:val="4"/>
    <w:qFormat/>
    <w:uiPriority w:val="0"/>
    <w:pPr>
      <w:ind w:firstLine="420" w:firstLineChars="100"/>
    </w:pPr>
  </w:style>
  <w:style w:type="paragraph" w:customStyle="1" w:styleId="9">
    <w:name w:val="Table Grid Text"/>
    <w:basedOn w:val="1"/>
    <w:qFormat/>
    <w:uiPriority w:val="0"/>
    <w:pPr>
      <w:spacing w:line="240" w:lineRule="auto"/>
    </w:pPr>
    <w:rPr>
      <w:sz w:val="21"/>
      <w:szCs w:val="21"/>
    </w:rPr>
  </w:style>
  <w:style w:type="character" w:customStyle="1" w:styleId="10">
    <w:name w:val="标题 3 Char"/>
    <w:basedOn w:val="8"/>
    <w:link w:val="2"/>
    <w:qFormat/>
    <w:uiPriority w:val="0"/>
    <w:rPr>
      <w:b/>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c32ea9e5-dd6e-41c8-a5de-2878e8b034b7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21294D12</paraID>
      <start>0</start>
      <end>2</end>
      <status>unmodified</status>
      <modifiedWord/>
      <trackRevisions>false</trackRevisions>
    </reviewItem>
    <reviewItem>
      <errorID>98a3079d-df02-4fbb-b85f-86839481c17a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569D7290</paraID>
      <start>0</start>
      <end>2</end>
      <status>unmodified</status>
      <modifiedWord/>
      <trackRevisions>false</trackRevisions>
    </reviewItem>
    <reviewItem>
      <errorID>52b88825-cbc5-4a7f-b06a-05e0cdb8ea12</errorID>
      <errorWord>KW</errorWord>
      <group>L1_Word</group>
      <groupName>字词问题</groupName>
      <ability>L2_Typo</ability>
      <abilityName>字词错误</abilityName>
      <candidateList>
        <item>kW</item>
      </candidateList>
      <explain/>
      <paraID>6BAF2652</paraID>
      <start>79</start>
      <end>81</end>
      <status>unmodified</status>
      <modifiedWord/>
      <trackRevisions>false</trackRevisions>
    </reviewItem>
    <reviewItem>
      <errorID>47fc00e5-cf82-49a0-aa70-bc5862e2179a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6E5B4D5E</paraID>
      <start>0</start>
      <end>2</end>
      <status>unmodified</status>
      <modifiedWord/>
      <trackRevisions>false</trackRevisions>
    </reviewItem>
    <reviewItem>
      <errorID>84f5684f-0e42-4c7d-856e-556fd7508d32</errorID>
      <errorWord>法律、法规</errorWord>
      <group>L1_Word</group>
      <groupName>字词问题</groupName>
      <ability>L2_Typo</ability>
      <abilityName>字词错误</abilityName>
      <candidateList>
        <item>法律法规</item>
      </candidateList>
      <explain/>
      <paraID>4889E7D3</paraID>
      <start>12</start>
      <end>17</end>
      <status>unmodified</status>
      <modifiedWord/>
      <trackRevisions>false</trackRevisions>
    </reviewItem>
    <reviewItem>
      <errorID>e8e118cf-5abf-4d5c-9c88-850601a418a6</errorID>
      <errorWord>、或</errorWord>
      <group>L1_Word</group>
      <groupName>字词问题</groupName>
      <ability>L2_Typo</ability>
      <abilityName>字词错误</abilityName>
      <candidateList>
        <item>或</item>
      </candidateList>
      <explain/>
      <paraID> 9556B10</paraID>
      <start>13</start>
      <end>15</end>
      <status>unmodified</status>
      <modifiedWord/>
      <trackRevisions>false</trackRevisions>
    </reviewItem>
    <reviewItem>
      <errorID>115378af-f8f2-4dd4-aa67-0cef97a92729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1D87E72C</paraID>
      <start>0</start>
      <end>2</end>
      <status>unmodified</status>
      <modifiedWord/>
      <trackRevisions>false</trackRevisions>
    </reviewItem>
    <reviewItem>
      <errorID>ad2543f5-8dbd-4561-a35c-02ad31263d3a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8F9946C</paraID>
      <start>13</start>
      <end>14</end>
      <status>unmodified</status>
      <modifiedWord/>
      <trackRevisions>false</trackRevisions>
    </reviewItem>
    <reviewItem>
      <errorID>a8c84423-f820-4478-9417-bb15d1da14b4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3101FA87</paraID>
      <start>12</start>
      <end>13</end>
      <status>unmodified</status>
      <modifiedWord/>
      <trackRevisions>false</trackRevisions>
    </reviewItem>
    <reviewItem>
      <errorID>445a2f6a-cd9b-436f-a5b1-7e158d6bcf75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4CAC3A5</paraID>
      <start>10</start>
      <end>11</end>
      <status>unmodified</status>
      <modifiedWord/>
      <trackRevisions>false</trackRevisions>
    </reviewItem>
    <reviewItem>
      <errorID>81b2d5a9-ed4a-4d1a-b3f0-1d962fbf0bd9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12978A36</paraID>
      <start>7</start>
      <end>8</end>
      <status>unmodified</status>
      <modifiedWord/>
      <trackRevisions>false</trackRevisions>
    </reviewItem>
    <reviewItem>
      <errorID>76a36b97-ed56-4c4e-a764-f1453a9deacf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514D035F</paraID>
      <start>7</start>
      <end>8</end>
      <status>unmodified</status>
      <modifiedWord/>
      <trackRevisions>false</trackRevisions>
    </reviewItem>
    <reviewItem>
      <errorID>79d84823-5643-4ecf-86a9-20ae4e743af1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7C4CACA5</paraID>
      <start>16</start>
      <end>17</end>
      <status>unmodified</status>
      <modifiedWord/>
      <trackRevisions>false</trackRevisions>
    </reviewItem>
    <reviewItem>
      <errorID>e65f550e-cb80-4653-83b4-ce01db94562d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72B56F49</paraID>
      <start>11</start>
      <end>12</end>
      <status>unmodified</status>
      <modifiedWord/>
      <trackRevisions>false</trackRevisions>
    </reviewItem>
    <reviewItem>
      <errorID>b2906e4d-5a09-4480-bc96-e5505ba054ba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4F502885</paraID>
      <start>0</start>
      <end>2</end>
      <status>unmodified</status>
      <modifiedWord/>
      <trackRevisions>false</trackRevisions>
    </reviewItem>
    <reviewItem>
      <errorID>a15279e5-d74d-43e1-b67b-66f9cf21d9ea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3C87BD84</paraID>
      <start>0</start>
      <end>2</end>
      <status>unmodified</status>
      <modifiedWord/>
      <trackRevisions>false</trackRevisions>
    </reviewItem>
    <reviewItem>
      <errorID>28c23123-fc32-4a6c-bbcc-6cf090b7d788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1E0E2223</paraID>
      <start>0</start>
      <end>2</end>
      <status>unmodified</status>
      <modifiedWord/>
      <trackRevisions>false</trackRevisions>
    </reviewItem>
    <reviewItem>
      <errorID>dc70b4ab-4d8c-48c2-bd16-07cb9023c629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1E0E2223</paraID>
      <start>61</start>
      <end>62</end>
      <status>unmodified</status>
      <modifiedWord/>
      <trackRevisions>false</trackRevisions>
    </reviewItem>
    <reviewItem>
      <errorID>6485ad4d-b8ea-44e1-aba2-f7796aaa38b0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9138D60</paraID>
      <start>0</start>
      <end>2</end>
      <status>unmodified</status>
      <modifiedWord/>
      <trackRevisions>false</trackRevisions>
    </reviewItem>
    <reviewItem>
      <errorID>71923585-a4a3-49b1-9675-992e26bdecce</errorID>
      <errorWord>其它</errorWord>
      <group>L1_Word</group>
      <groupName>字词问题</groupName>
      <ability>L2_Alias</ability>
      <abilityName>也作/曾用词</abilityName>
      <candidateList>
        <item>其他</item>
      </candidateList>
      <explain>词汇[其它]为不规范表述或旧称，其规范书面表述为[其他]。</explain>
      <paraID> 9138D60</paraID>
      <start>65</start>
      <end>67</end>
      <status>unmodified</status>
      <modifiedWord/>
      <trackRevisions>false</trackRevisions>
    </reviewItem>
    <reviewItem>
      <errorID>df370405-0826-439e-969c-739df0530cdf</errorID>
      <errorWord>藉此</errorWord>
      <group>L1_Word</group>
      <groupName>字词问题</groupName>
      <ability>L2_Fanti</ability>
      <abilityName>繁转简</abilityName>
      <candidateList>
        <item>借此</item>
      </candidateList>
      <explain/>
      <paraID> 9138D60</paraID>
      <start>126</start>
      <end>128</end>
      <status>unmodified</status>
      <modifiedWord/>
      <trackRevisions>false</trackRevisions>
    </reviewItem>
    <reviewItem>
      <errorID>a8e9a830-00a7-4deb-9efa-129ecf42f3ef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729A752D</paraID>
      <start>0</start>
      <end>2</end>
      <status>unmodified</status>
      <modifiedWord/>
      <trackRevisions>false</trackRevisions>
    </reviewItem>
    <reviewItem>
      <errorID>68baafb2-2687-4cf6-8b08-28ed956bfdc1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5C484674</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1aa3ff07-ef4b-4423-984b-2c5b5f0efb12}">
  <ds:schemaRefs/>
</ds:datastoreItem>
</file>

<file path=docProps/app.xml><?xml version="1.0" encoding="utf-8"?>
<Properties xmlns="http://schemas.openxmlformats.org/officeDocument/2006/extended-properties" xmlns:vt="http://schemas.openxmlformats.org/officeDocument/2006/docPropsVTypes">
  <Pages>5</Pages>
  <Words>1202</Words>
  <Characters>1280</Characters>
  <TotalTime>4</TotalTime>
  <ScaleCrop>false</ScaleCrop>
  <LinksUpToDate>false</LinksUpToDate>
  <CharactersWithSpaces>1289</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2026-10-21T00:16:00Z</dcterms:created>
  <dc:creator>Administrator</dc:creator>
  <cp:lastModifiedBy>15957778420</cp:lastModifiedBy>
  <dcterms:modified xsi:type="dcterms:W3CDTF">2026-10-26T06:36:35Z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eyJoZGlkIjoiMjBhZDY0MjgzZjY4OWMyYzg3ZjZjZTcyMzZmMDEwYjIiLCJ1c2VySWQiOiI2ODQ4MTUwMTQifQ==</vt:lpwstr>
  </property>
  <property fmtid="{D5CDD505-2E9C-101B-9397-08002B2CF9AE}" pid="3" name="KSOProductBuildVer">
    <vt:lpwstr>2052-12.1.0.29161</vt:lpwstr>
  </property>
  <property fmtid="{D5CDD505-2E9C-101B-9397-08002B2CF9AE}" pid="4" name="ICV">
    <vt:lpwstr>557B31CBF2854C96B2BB094FDA746B95_12</vt:lpwstr>
  </property>
</Properties>
</file>